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6CCEC" w14:textId="77777777" w:rsidR="002F15F3" w:rsidRPr="00217ED2" w:rsidRDefault="002F15F3" w:rsidP="00F242FB">
      <w:pPr>
        <w:jc w:val="center"/>
        <w:rPr>
          <w:b/>
          <w:bCs/>
          <w:sz w:val="24"/>
          <w:szCs w:val="24"/>
        </w:rPr>
      </w:pPr>
      <w:r w:rsidRPr="00217ED2">
        <w:rPr>
          <w:b/>
          <w:bCs/>
          <w:sz w:val="24"/>
          <w:szCs w:val="24"/>
        </w:rPr>
        <w:t>Minimally Recommended Elements to include in a Subaward Policy &amp; Procedures</w:t>
      </w:r>
    </w:p>
    <w:p w14:paraId="3F46F013" w14:textId="00B15EA2" w:rsidR="00F242FB" w:rsidRPr="00F242FB" w:rsidRDefault="002F15F3" w:rsidP="00714CAC">
      <w:pPr>
        <w:spacing w:line="240" w:lineRule="auto"/>
        <w:ind w:left="187"/>
        <w:jc w:val="both"/>
        <w:rPr>
          <w:sz w:val="24"/>
          <w:szCs w:val="24"/>
        </w:rPr>
      </w:pPr>
      <w:r w:rsidRPr="00F242FB">
        <w:rPr>
          <w:sz w:val="24"/>
          <w:szCs w:val="24"/>
        </w:rPr>
        <w:t xml:space="preserve">When applying for a VOCA, VAWA, or SASP grant where passing funds to a subrecipient is an anticipated part of the project, a </w:t>
      </w:r>
      <w:r w:rsidR="00714CAC">
        <w:rPr>
          <w:sz w:val="24"/>
          <w:szCs w:val="24"/>
        </w:rPr>
        <w:t xml:space="preserve">Subaward Grant Agreement and a </w:t>
      </w:r>
      <w:r w:rsidRPr="00F242FB">
        <w:rPr>
          <w:sz w:val="24"/>
          <w:szCs w:val="24"/>
        </w:rPr>
        <w:t xml:space="preserve">Subaward Policy </w:t>
      </w:r>
      <w:r w:rsidR="00714CAC">
        <w:rPr>
          <w:sz w:val="24"/>
          <w:szCs w:val="24"/>
        </w:rPr>
        <w:t>are</w:t>
      </w:r>
      <w:r w:rsidRPr="00F242FB">
        <w:rPr>
          <w:sz w:val="24"/>
          <w:szCs w:val="24"/>
        </w:rPr>
        <w:t xml:space="preserve"> required.  The Subaward Policy should include, at a minimum, the following elements:</w:t>
      </w:r>
    </w:p>
    <w:p w14:paraId="454E3AFE" w14:textId="77777777" w:rsidR="002F15F3" w:rsidRPr="00F242FB" w:rsidRDefault="002F15F3" w:rsidP="00714CAC">
      <w:pPr>
        <w:ind w:firstLine="180"/>
        <w:jc w:val="both"/>
        <w:rPr>
          <w:b/>
          <w:bCs/>
          <w:sz w:val="24"/>
          <w:szCs w:val="24"/>
        </w:rPr>
      </w:pPr>
      <w:r w:rsidRPr="00F242FB">
        <w:rPr>
          <w:b/>
          <w:bCs/>
          <w:sz w:val="24"/>
          <w:szCs w:val="24"/>
        </w:rPr>
        <w:t>Policy Statement</w:t>
      </w:r>
    </w:p>
    <w:p w14:paraId="6539E927" w14:textId="7D6812F6" w:rsidR="002F15F3" w:rsidRPr="00F242FB" w:rsidRDefault="00E80AE6" w:rsidP="00714CAC">
      <w:pPr>
        <w:spacing w:after="278" w:line="267" w:lineRule="exact"/>
        <w:ind w:left="216"/>
        <w:jc w:val="both"/>
        <w:textAlignment w:val="baseline"/>
        <w:rPr>
          <w:rFonts w:eastAsia="Calibri"/>
          <w:color w:val="000000"/>
          <w:sz w:val="24"/>
          <w:szCs w:val="24"/>
        </w:rPr>
      </w:pPr>
      <w:r w:rsidRPr="00F242FB">
        <w:rPr>
          <w:rFonts w:eastAsia="Calibri"/>
          <w:color w:val="000000"/>
          <w:sz w:val="24"/>
          <w:szCs w:val="24"/>
        </w:rPr>
        <w:t>Include a statement demonstrating that you, as the awarding agency,</w:t>
      </w:r>
      <w:r w:rsidR="002F15F3" w:rsidRPr="00F242FB">
        <w:rPr>
          <w:rFonts w:eastAsia="Calibri"/>
          <w:color w:val="000000"/>
          <w:sz w:val="24"/>
          <w:szCs w:val="24"/>
        </w:rPr>
        <w:t xml:space="preserve"> </w:t>
      </w:r>
      <w:r w:rsidR="00420D8C" w:rsidRPr="00F242FB">
        <w:rPr>
          <w:rFonts w:eastAsia="Calibri"/>
          <w:color w:val="000000"/>
          <w:sz w:val="24"/>
          <w:szCs w:val="24"/>
        </w:rPr>
        <w:t>are</w:t>
      </w:r>
      <w:r w:rsidR="002F15F3" w:rsidRPr="00F242FB">
        <w:rPr>
          <w:rFonts w:eastAsia="Calibri"/>
          <w:color w:val="000000"/>
          <w:sz w:val="24"/>
          <w:szCs w:val="24"/>
        </w:rPr>
        <w:t xml:space="preserve"> responsible for monitoring the programmatic and financial activities of </w:t>
      </w:r>
      <w:r w:rsidR="00714CAC">
        <w:rPr>
          <w:rFonts w:eastAsia="Calibri"/>
          <w:color w:val="000000"/>
          <w:sz w:val="24"/>
          <w:szCs w:val="24"/>
        </w:rPr>
        <w:t xml:space="preserve">your VOCA, VAWA, or SASP </w:t>
      </w:r>
      <w:r w:rsidR="002F15F3" w:rsidRPr="00AB3B70">
        <w:rPr>
          <w:rFonts w:eastAsia="Calibri"/>
          <w:color w:val="000000"/>
          <w:sz w:val="24"/>
          <w:szCs w:val="24"/>
        </w:rPr>
        <w:t>award subrecipient</w:t>
      </w:r>
      <w:r w:rsidR="002F15F3" w:rsidRPr="00F242FB">
        <w:rPr>
          <w:rFonts w:eastAsia="Calibri"/>
          <w:color w:val="000000"/>
          <w:sz w:val="24"/>
          <w:szCs w:val="24"/>
        </w:rPr>
        <w:t xml:space="preserve"> to ensure proper stewardship of </w:t>
      </w:r>
      <w:r w:rsidR="00714CAC">
        <w:rPr>
          <w:rFonts w:eastAsia="Calibri"/>
          <w:color w:val="000000"/>
          <w:sz w:val="24"/>
          <w:szCs w:val="24"/>
        </w:rPr>
        <w:t xml:space="preserve">these </w:t>
      </w:r>
      <w:r w:rsidR="002F15F3" w:rsidRPr="00F242FB">
        <w:rPr>
          <w:rFonts w:eastAsia="Calibri"/>
          <w:color w:val="000000"/>
          <w:sz w:val="24"/>
          <w:szCs w:val="24"/>
        </w:rPr>
        <w:t xml:space="preserve">federal funds. The policy, roles, and procedures </w:t>
      </w:r>
      <w:r w:rsidR="00714CAC">
        <w:rPr>
          <w:rFonts w:eastAsia="Calibri"/>
          <w:color w:val="000000"/>
          <w:sz w:val="24"/>
          <w:szCs w:val="24"/>
        </w:rPr>
        <w:t xml:space="preserve">will </w:t>
      </w:r>
      <w:r w:rsidR="002F15F3" w:rsidRPr="00F242FB">
        <w:rPr>
          <w:rFonts w:eastAsia="Calibri"/>
          <w:color w:val="000000"/>
          <w:sz w:val="24"/>
          <w:szCs w:val="24"/>
        </w:rPr>
        <w:t xml:space="preserve">address responsibilities to ensure that, in addition to achieving performance goals, </w:t>
      </w:r>
      <w:r w:rsidR="00714CAC">
        <w:rPr>
          <w:rFonts w:eastAsia="Calibri"/>
          <w:color w:val="000000"/>
          <w:sz w:val="24"/>
          <w:szCs w:val="24"/>
        </w:rPr>
        <w:t xml:space="preserve">your </w:t>
      </w:r>
      <w:r w:rsidR="002F15F3" w:rsidRPr="00F242FB">
        <w:rPr>
          <w:rFonts w:eastAsia="Calibri"/>
          <w:color w:val="000000"/>
          <w:sz w:val="24"/>
          <w:szCs w:val="24"/>
        </w:rPr>
        <w:t>subrecipients comply with applicable federal laws and regulations, and with the provisions of federal grant award special conditions.</w:t>
      </w:r>
    </w:p>
    <w:p w14:paraId="79B276EC" w14:textId="77777777" w:rsidR="002F15F3" w:rsidRPr="00F242FB" w:rsidRDefault="002F15F3" w:rsidP="00F242FB">
      <w:pPr>
        <w:tabs>
          <w:tab w:val="left" w:pos="180"/>
        </w:tabs>
        <w:ind w:firstLine="180"/>
        <w:jc w:val="both"/>
        <w:rPr>
          <w:b/>
          <w:bCs/>
          <w:sz w:val="24"/>
          <w:szCs w:val="24"/>
        </w:rPr>
      </w:pPr>
      <w:r w:rsidRPr="00F242FB">
        <w:rPr>
          <w:b/>
          <w:bCs/>
          <w:sz w:val="24"/>
          <w:szCs w:val="24"/>
        </w:rPr>
        <w:t>Subrecipient Monitoring Policy</w:t>
      </w:r>
    </w:p>
    <w:p w14:paraId="083A1CD1" w14:textId="722A7071" w:rsidR="004D76B1" w:rsidRPr="00F242FB" w:rsidRDefault="00420D8C" w:rsidP="0051625F">
      <w:pPr>
        <w:spacing w:line="240" w:lineRule="auto"/>
        <w:ind w:left="187"/>
        <w:jc w:val="both"/>
        <w:rPr>
          <w:sz w:val="24"/>
          <w:szCs w:val="24"/>
        </w:rPr>
      </w:pPr>
      <w:r w:rsidRPr="00F242FB">
        <w:rPr>
          <w:sz w:val="24"/>
          <w:szCs w:val="24"/>
        </w:rPr>
        <w:t>As the admin</w:t>
      </w:r>
      <w:r w:rsidR="004D76B1" w:rsidRPr="00F242FB">
        <w:rPr>
          <w:sz w:val="24"/>
          <w:szCs w:val="24"/>
        </w:rPr>
        <w:t>is</w:t>
      </w:r>
      <w:r w:rsidRPr="00F242FB">
        <w:rPr>
          <w:sz w:val="24"/>
          <w:szCs w:val="24"/>
        </w:rPr>
        <w:t>trator of a federal subaward</w:t>
      </w:r>
      <w:r w:rsidR="00FC657F">
        <w:rPr>
          <w:sz w:val="24"/>
          <w:szCs w:val="24"/>
        </w:rPr>
        <w:t xml:space="preserve"> from CVSSD</w:t>
      </w:r>
      <w:r w:rsidRPr="00F242FB">
        <w:rPr>
          <w:sz w:val="24"/>
          <w:szCs w:val="24"/>
        </w:rPr>
        <w:t xml:space="preserve">, </w:t>
      </w:r>
      <w:r w:rsidR="004D76B1" w:rsidRPr="00F242FB">
        <w:rPr>
          <w:sz w:val="24"/>
          <w:szCs w:val="24"/>
        </w:rPr>
        <w:t>you are</w:t>
      </w:r>
      <w:r w:rsidRPr="00F242FB">
        <w:rPr>
          <w:sz w:val="24"/>
          <w:szCs w:val="24"/>
        </w:rPr>
        <w:t xml:space="preserve"> required to provide evidence of due dil</w:t>
      </w:r>
      <w:r w:rsidR="004D76B1" w:rsidRPr="00F242FB">
        <w:rPr>
          <w:sz w:val="24"/>
          <w:szCs w:val="24"/>
        </w:rPr>
        <w:t xml:space="preserve">igence in reviewing the ability of the </w:t>
      </w:r>
      <w:r w:rsidR="00F242FB" w:rsidRPr="00F242FB">
        <w:rPr>
          <w:sz w:val="24"/>
          <w:szCs w:val="24"/>
        </w:rPr>
        <w:t xml:space="preserve">organization to whom you are </w:t>
      </w:r>
      <w:proofErr w:type="spellStart"/>
      <w:r w:rsidR="00F242FB" w:rsidRPr="00F242FB">
        <w:rPr>
          <w:sz w:val="24"/>
          <w:szCs w:val="24"/>
        </w:rPr>
        <w:t>subawarding</w:t>
      </w:r>
      <w:proofErr w:type="spellEnd"/>
      <w:r w:rsidR="00F242FB" w:rsidRPr="00F242FB">
        <w:rPr>
          <w:sz w:val="24"/>
          <w:szCs w:val="24"/>
        </w:rPr>
        <w:t xml:space="preserve"> funds,</w:t>
      </w:r>
      <w:r w:rsidR="004D76B1" w:rsidRPr="00F242FB">
        <w:rPr>
          <w:sz w:val="24"/>
          <w:szCs w:val="24"/>
        </w:rPr>
        <w:t xml:space="preserve"> to properly manage the subaward and meet the objectives of the portion of the project your agency is funding. </w:t>
      </w:r>
    </w:p>
    <w:p w14:paraId="4E89424E" w14:textId="014A39A7" w:rsidR="002F15F3" w:rsidRPr="00F242FB" w:rsidRDefault="002F15F3" w:rsidP="0051625F">
      <w:pPr>
        <w:spacing w:line="240" w:lineRule="auto"/>
        <w:ind w:left="187"/>
        <w:jc w:val="both"/>
        <w:rPr>
          <w:sz w:val="24"/>
          <w:szCs w:val="24"/>
        </w:rPr>
      </w:pPr>
      <w:hyperlink r:id="rId5" w:history="1">
        <w:r w:rsidRPr="00F242FB">
          <w:rPr>
            <w:rStyle w:val="Hyperlink"/>
            <w:sz w:val="24"/>
            <w:szCs w:val="24"/>
          </w:rPr>
          <w:t>OMB Uniform Administrative Requirements, Cost Principles, and Audit Requirements for Federal Awards (2 CFR 200) Uniform Guidance</w:t>
        </w:r>
      </w:hyperlink>
      <w:r w:rsidRPr="00F242FB">
        <w:rPr>
          <w:sz w:val="24"/>
          <w:szCs w:val="24"/>
        </w:rPr>
        <w:t xml:space="preserve">, specifically 200.331, requires </w:t>
      </w:r>
      <w:r w:rsidR="004D76B1" w:rsidRPr="00F242FB">
        <w:rPr>
          <w:sz w:val="24"/>
          <w:szCs w:val="24"/>
        </w:rPr>
        <w:t>that you</w:t>
      </w:r>
      <w:r w:rsidRPr="00F242FB">
        <w:rPr>
          <w:sz w:val="24"/>
          <w:szCs w:val="24"/>
        </w:rPr>
        <w:t xml:space="preserve"> evaluate </w:t>
      </w:r>
      <w:r w:rsidR="004D76B1" w:rsidRPr="00F242FB">
        <w:rPr>
          <w:sz w:val="24"/>
          <w:szCs w:val="24"/>
        </w:rPr>
        <w:t>your</w:t>
      </w:r>
      <w:r w:rsidRPr="00F242FB">
        <w:rPr>
          <w:sz w:val="24"/>
          <w:szCs w:val="24"/>
        </w:rPr>
        <w:t xml:space="preserve"> sub</w:t>
      </w:r>
      <w:r w:rsidR="0072677E">
        <w:rPr>
          <w:sz w:val="24"/>
          <w:szCs w:val="24"/>
        </w:rPr>
        <w:t>recipient organization’</w:t>
      </w:r>
      <w:r w:rsidRPr="00F242FB">
        <w:rPr>
          <w:sz w:val="24"/>
          <w:szCs w:val="24"/>
        </w:rPr>
        <w:t xml:space="preserve">s risk of noncompliance </w:t>
      </w:r>
      <w:proofErr w:type="gramStart"/>
      <w:r w:rsidRPr="00F242FB">
        <w:rPr>
          <w:sz w:val="24"/>
          <w:szCs w:val="24"/>
        </w:rPr>
        <w:t>in order to</w:t>
      </w:r>
      <w:proofErr w:type="gramEnd"/>
      <w:r w:rsidRPr="00F242FB">
        <w:rPr>
          <w:sz w:val="24"/>
          <w:szCs w:val="24"/>
        </w:rPr>
        <w:t xml:space="preserve"> determine the appropriate monitoring level</w:t>
      </w:r>
      <w:r w:rsidR="00FC657F">
        <w:rPr>
          <w:sz w:val="24"/>
          <w:szCs w:val="24"/>
        </w:rPr>
        <w:t>. You are required to</w:t>
      </w:r>
      <w:r w:rsidRPr="00F242FB">
        <w:rPr>
          <w:sz w:val="24"/>
          <w:szCs w:val="24"/>
        </w:rPr>
        <w:t xml:space="preserve"> monitor the activities of </w:t>
      </w:r>
      <w:r w:rsidR="00FC657F">
        <w:rPr>
          <w:sz w:val="24"/>
          <w:szCs w:val="24"/>
        </w:rPr>
        <w:t xml:space="preserve">the </w:t>
      </w:r>
      <w:r w:rsidRPr="00F242FB">
        <w:rPr>
          <w:sz w:val="24"/>
          <w:szCs w:val="24"/>
        </w:rPr>
        <w:t xml:space="preserve">subrecipient organization to ensure that the subaward is in compliance with applicable Federal statutes and regulations and terms of the subaward, and </w:t>
      </w:r>
      <w:r w:rsidR="00FC657F">
        <w:rPr>
          <w:sz w:val="24"/>
          <w:szCs w:val="24"/>
        </w:rPr>
        <w:t xml:space="preserve">to </w:t>
      </w:r>
      <w:r w:rsidRPr="00F242FB">
        <w:rPr>
          <w:sz w:val="24"/>
          <w:szCs w:val="24"/>
        </w:rPr>
        <w:t xml:space="preserve">verify that </w:t>
      </w:r>
      <w:r w:rsidR="00FC657F">
        <w:rPr>
          <w:sz w:val="24"/>
          <w:szCs w:val="24"/>
        </w:rPr>
        <w:t>the subrecipient organization is</w:t>
      </w:r>
      <w:r w:rsidRPr="00F242FB">
        <w:rPr>
          <w:sz w:val="24"/>
          <w:szCs w:val="24"/>
        </w:rPr>
        <w:t xml:space="preserve"> audited as required by </w:t>
      </w:r>
      <w:hyperlink r:id="rId6" w:history="1">
        <w:r w:rsidRPr="0002511C">
          <w:rPr>
            <w:rStyle w:val="Hyperlink"/>
            <w:sz w:val="24"/>
            <w:szCs w:val="24"/>
          </w:rPr>
          <w:t>Subpart F of the Uniform Guidance.</w:t>
        </w:r>
      </w:hyperlink>
      <w:r w:rsidRPr="00F242FB">
        <w:rPr>
          <w:sz w:val="24"/>
          <w:szCs w:val="24"/>
        </w:rPr>
        <w:t xml:space="preserve"> </w:t>
      </w:r>
    </w:p>
    <w:p w14:paraId="02C18CDF" w14:textId="77777777" w:rsidR="002F15F3" w:rsidRPr="00F242FB" w:rsidRDefault="002F15F3" w:rsidP="002F15F3">
      <w:pPr>
        <w:ind w:left="180"/>
        <w:rPr>
          <w:b/>
          <w:bCs/>
          <w:sz w:val="24"/>
          <w:szCs w:val="24"/>
        </w:rPr>
      </w:pPr>
      <w:r w:rsidRPr="00F242FB">
        <w:rPr>
          <w:b/>
          <w:bCs/>
          <w:sz w:val="24"/>
          <w:szCs w:val="24"/>
        </w:rPr>
        <w:t>Pre-Award Process</w:t>
      </w:r>
    </w:p>
    <w:p w14:paraId="5645F504" w14:textId="77777777" w:rsidR="002F15F3" w:rsidRPr="00F242FB" w:rsidRDefault="002F15F3" w:rsidP="00F242FB">
      <w:pPr>
        <w:pStyle w:val="ListParagraph"/>
        <w:numPr>
          <w:ilvl w:val="0"/>
          <w:numId w:val="5"/>
        </w:numPr>
        <w:tabs>
          <w:tab w:val="left" w:pos="360"/>
          <w:tab w:val="left" w:pos="1008"/>
        </w:tabs>
        <w:spacing w:after="0" w:line="263" w:lineRule="exact"/>
        <w:ind w:right="432"/>
        <w:jc w:val="both"/>
        <w:textAlignment w:val="baseline"/>
        <w:rPr>
          <w:rFonts w:eastAsia="Calibri"/>
          <w:color w:val="000000"/>
          <w:sz w:val="24"/>
          <w:szCs w:val="24"/>
        </w:rPr>
      </w:pPr>
      <w:r w:rsidRPr="00F242FB">
        <w:rPr>
          <w:rFonts w:eastAsia="Calibri"/>
          <w:color w:val="000000"/>
          <w:sz w:val="24"/>
          <w:szCs w:val="24"/>
        </w:rPr>
        <w:t xml:space="preserve">Confirm subrecipient relationship using the </w:t>
      </w:r>
      <w:hyperlink r:id="rId7" w:history="1">
        <w:r w:rsidRPr="00F242FB">
          <w:rPr>
            <w:rStyle w:val="Hyperlink"/>
            <w:rFonts w:eastAsia="Calibri"/>
            <w:sz w:val="24"/>
            <w:szCs w:val="24"/>
          </w:rPr>
          <w:t>Checklist for Determining if an Entity Receiving Funds has a Contractor or Subrecipient Relationship</w:t>
        </w:r>
      </w:hyperlink>
      <w:r w:rsidRPr="00F242FB">
        <w:rPr>
          <w:sz w:val="24"/>
          <w:szCs w:val="24"/>
        </w:rPr>
        <w:t>.</w:t>
      </w:r>
    </w:p>
    <w:p w14:paraId="54D58886" w14:textId="77777777" w:rsidR="002F15F3" w:rsidRPr="00F242FB" w:rsidRDefault="002F15F3" w:rsidP="00F242FB">
      <w:pPr>
        <w:pStyle w:val="ListParagraph"/>
        <w:numPr>
          <w:ilvl w:val="0"/>
          <w:numId w:val="5"/>
        </w:numPr>
        <w:tabs>
          <w:tab w:val="left" w:pos="360"/>
          <w:tab w:val="left" w:pos="1008"/>
        </w:tabs>
        <w:spacing w:after="0" w:line="263" w:lineRule="exact"/>
        <w:ind w:right="432"/>
        <w:jc w:val="both"/>
        <w:textAlignment w:val="baseline"/>
        <w:rPr>
          <w:rFonts w:eastAsia="Calibri"/>
          <w:color w:val="000000"/>
          <w:sz w:val="24"/>
          <w:szCs w:val="24"/>
        </w:rPr>
      </w:pPr>
      <w:r w:rsidRPr="00F242FB">
        <w:rPr>
          <w:rFonts w:eastAsia="Calibri"/>
          <w:color w:val="000000"/>
          <w:sz w:val="24"/>
          <w:szCs w:val="24"/>
        </w:rPr>
        <w:t>Collaborate with the subrecipient regarding the subrecipient’s application narrative, goals of the subaward, and the subrecipient’s grant budget.</w:t>
      </w:r>
    </w:p>
    <w:p w14:paraId="1EE36701" w14:textId="77777777" w:rsidR="002F15F3" w:rsidRPr="00F242FB" w:rsidRDefault="002F15F3" w:rsidP="00F242FB">
      <w:pPr>
        <w:pStyle w:val="ListParagraph"/>
        <w:numPr>
          <w:ilvl w:val="0"/>
          <w:numId w:val="5"/>
        </w:numPr>
        <w:tabs>
          <w:tab w:val="left" w:pos="360"/>
          <w:tab w:val="left" w:pos="1008"/>
        </w:tabs>
        <w:spacing w:before="45" w:after="0" w:line="233" w:lineRule="exact"/>
        <w:jc w:val="both"/>
        <w:textAlignment w:val="baseline"/>
        <w:rPr>
          <w:rFonts w:eastAsia="Calibri"/>
          <w:color w:val="000000"/>
          <w:sz w:val="24"/>
          <w:szCs w:val="24"/>
        </w:rPr>
      </w:pPr>
      <w:r w:rsidRPr="00F242FB">
        <w:rPr>
          <w:rFonts w:eastAsia="Calibri"/>
          <w:color w:val="000000"/>
          <w:sz w:val="24"/>
          <w:szCs w:val="24"/>
        </w:rPr>
        <w:t>Collaborate to establish a draft scope of work.</w:t>
      </w:r>
    </w:p>
    <w:p w14:paraId="14F3618A" w14:textId="77777777" w:rsidR="002F15F3" w:rsidRPr="00F242FB" w:rsidRDefault="002F15F3" w:rsidP="00F242FB">
      <w:pPr>
        <w:pStyle w:val="ListParagraph"/>
        <w:numPr>
          <w:ilvl w:val="0"/>
          <w:numId w:val="5"/>
        </w:numPr>
        <w:tabs>
          <w:tab w:val="left" w:pos="360"/>
          <w:tab w:val="left" w:pos="1008"/>
        </w:tabs>
        <w:spacing w:before="50" w:after="0" w:line="233" w:lineRule="exact"/>
        <w:jc w:val="both"/>
        <w:textAlignment w:val="baseline"/>
        <w:rPr>
          <w:rFonts w:eastAsia="Calibri"/>
          <w:color w:val="000000"/>
          <w:sz w:val="24"/>
          <w:szCs w:val="24"/>
        </w:rPr>
      </w:pPr>
      <w:r w:rsidRPr="00F242FB">
        <w:rPr>
          <w:rFonts w:eastAsia="Calibri"/>
          <w:color w:val="000000"/>
          <w:sz w:val="24"/>
          <w:szCs w:val="24"/>
        </w:rPr>
        <w:t>Notify the subrecipient of the grant award approval or denial.</w:t>
      </w:r>
    </w:p>
    <w:p w14:paraId="57F1AC3F" w14:textId="77777777" w:rsidR="002F15F3" w:rsidRPr="00F242FB" w:rsidRDefault="002F15F3" w:rsidP="002F15F3">
      <w:pPr>
        <w:tabs>
          <w:tab w:val="left" w:pos="360"/>
          <w:tab w:val="left" w:pos="1008"/>
        </w:tabs>
        <w:spacing w:before="50" w:after="0" w:line="233" w:lineRule="exact"/>
        <w:jc w:val="both"/>
        <w:textAlignment w:val="baseline"/>
        <w:rPr>
          <w:rFonts w:eastAsia="Calibri"/>
          <w:b/>
          <w:bCs/>
          <w:color w:val="000000"/>
          <w:sz w:val="24"/>
          <w:szCs w:val="24"/>
        </w:rPr>
      </w:pPr>
    </w:p>
    <w:p w14:paraId="6D69C0CE" w14:textId="77777777" w:rsidR="002F15F3" w:rsidRPr="00F242FB" w:rsidRDefault="002F15F3" w:rsidP="002F15F3">
      <w:pPr>
        <w:tabs>
          <w:tab w:val="left" w:pos="360"/>
          <w:tab w:val="left" w:pos="1008"/>
        </w:tabs>
        <w:spacing w:before="50" w:after="0" w:line="233" w:lineRule="exact"/>
        <w:ind w:left="180"/>
        <w:jc w:val="both"/>
        <w:textAlignment w:val="baseline"/>
        <w:rPr>
          <w:rFonts w:eastAsia="Calibri"/>
          <w:b/>
          <w:bCs/>
          <w:color w:val="000000"/>
          <w:sz w:val="24"/>
          <w:szCs w:val="24"/>
        </w:rPr>
      </w:pPr>
      <w:r w:rsidRPr="00F242FB">
        <w:rPr>
          <w:rFonts w:eastAsia="Calibri"/>
          <w:b/>
          <w:bCs/>
          <w:color w:val="000000"/>
          <w:sz w:val="24"/>
          <w:szCs w:val="24"/>
        </w:rPr>
        <w:t>Awarding Process</w:t>
      </w:r>
    </w:p>
    <w:p w14:paraId="0D168976" w14:textId="77777777" w:rsidR="002F15F3" w:rsidRPr="00F242FB" w:rsidRDefault="002F15F3" w:rsidP="00F242FB">
      <w:pPr>
        <w:pStyle w:val="ListParagraph"/>
        <w:numPr>
          <w:ilvl w:val="0"/>
          <w:numId w:val="4"/>
        </w:numPr>
        <w:tabs>
          <w:tab w:val="left" w:pos="360"/>
          <w:tab w:val="left" w:pos="1008"/>
          <w:tab w:val="left" w:pos="1170"/>
        </w:tabs>
        <w:spacing w:before="50" w:after="0" w:line="233" w:lineRule="exact"/>
        <w:jc w:val="both"/>
        <w:textAlignment w:val="baseline"/>
        <w:rPr>
          <w:rFonts w:eastAsia="Calibri"/>
          <w:color w:val="000000"/>
          <w:sz w:val="24"/>
          <w:szCs w:val="24"/>
        </w:rPr>
      </w:pPr>
      <w:r w:rsidRPr="00F242FB">
        <w:rPr>
          <w:rFonts w:eastAsia="Calibri"/>
          <w:color w:val="000000"/>
          <w:sz w:val="24"/>
          <w:szCs w:val="24"/>
        </w:rPr>
        <w:t xml:space="preserve">Create subaward agreement using </w:t>
      </w:r>
      <w:hyperlink r:id="rId8" w:history="1">
        <w:r w:rsidRPr="00F242FB">
          <w:rPr>
            <w:rStyle w:val="Hyperlink"/>
            <w:rFonts w:eastAsia="Calibri"/>
            <w:sz w:val="24"/>
            <w:szCs w:val="24"/>
          </w:rPr>
          <w:t>CVSSD Guidance for Drafting a Subaward Agreement for  Federal Funds</w:t>
        </w:r>
      </w:hyperlink>
      <w:r w:rsidRPr="00F242FB">
        <w:rPr>
          <w:sz w:val="24"/>
          <w:szCs w:val="24"/>
        </w:rPr>
        <w:t>.</w:t>
      </w:r>
    </w:p>
    <w:p w14:paraId="34A439A0" w14:textId="6882A91B" w:rsidR="002F15F3" w:rsidRPr="00F242FB" w:rsidRDefault="002F15F3" w:rsidP="00F242FB">
      <w:pPr>
        <w:pStyle w:val="ListParagraph"/>
        <w:numPr>
          <w:ilvl w:val="0"/>
          <w:numId w:val="4"/>
        </w:numPr>
        <w:tabs>
          <w:tab w:val="left" w:pos="360"/>
          <w:tab w:val="left" w:pos="1008"/>
          <w:tab w:val="left" w:pos="1170"/>
        </w:tabs>
        <w:spacing w:before="50" w:after="0" w:line="233" w:lineRule="exact"/>
        <w:jc w:val="both"/>
        <w:textAlignment w:val="baseline"/>
        <w:rPr>
          <w:rFonts w:eastAsia="Calibri"/>
          <w:color w:val="000000"/>
          <w:sz w:val="24"/>
          <w:szCs w:val="24"/>
        </w:rPr>
      </w:pPr>
      <w:r w:rsidRPr="00F242FB">
        <w:rPr>
          <w:rFonts w:eastAsia="Calibri"/>
          <w:color w:val="000000"/>
          <w:sz w:val="24"/>
          <w:szCs w:val="24"/>
        </w:rPr>
        <w:t>Submit</w:t>
      </w:r>
      <w:r w:rsidR="006D71AD">
        <w:rPr>
          <w:rFonts w:eastAsia="Calibri"/>
          <w:color w:val="000000"/>
          <w:sz w:val="24"/>
          <w:szCs w:val="24"/>
        </w:rPr>
        <w:t xml:space="preserve"> </w:t>
      </w:r>
      <w:r w:rsidR="00680832">
        <w:rPr>
          <w:rFonts w:eastAsia="Calibri"/>
          <w:color w:val="000000"/>
          <w:sz w:val="24"/>
          <w:szCs w:val="24"/>
        </w:rPr>
        <w:t>the</w:t>
      </w:r>
      <w:r w:rsidR="00680832" w:rsidRPr="00F242FB">
        <w:rPr>
          <w:rFonts w:eastAsia="Calibri"/>
          <w:color w:val="000000"/>
          <w:sz w:val="24"/>
          <w:szCs w:val="24"/>
        </w:rPr>
        <w:t xml:space="preserve"> agreement</w:t>
      </w:r>
      <w:r w:rsidRPr="00F242FB">
        <w:rPr>
          <w:rFonts w:eastAsia="Calibri"/>
          <w:color w:val="000000"/>
          <w:sz w:val="24"/>
          <w:szCs w:val="24"/>
        </w:rPr>
        <w:t xml:space="preserve"> </w:t>
      </w:r>
      <w:r w:rsidR="006D71AD">
        <w:rPr>
          <w:rFonts w:eastAsia="Calibri"/>
          <w:color w:val="000000"/>
          <w:sz w:val="24"/>
          <w:szCs w:val="24"/>
        </w:rPr>
        <w:t xml:space="preserve">prior to signatures </w:t>
      </w:r>
      <w:r w:rsidRPr="00F242FB">
        <w:rPr>
          <w:rFonts w:eastAsia="Calibri"/>
          <w:color w:val="000000"/>
          <w:sz w:val="24"/>
          <w:szCs w:val="24"/>
        </w:rPr>
        <w:t>for CVSSD approval</w:t>
      </w:r>
      <w:r w:rsidR="008768A0" w:rsidRPr="00F242FB">
        <w:rPr>
          <w:rFonts w:eastAsia="Calibri"/>
          <w:color w:val="000000"/>
          <w:sz w:val="24"/>
          <w:szCs w:val="24"/>
        </w:rPr>
        <w:t xml:space="preserve"> via email</w:t>
      </w:r>
      <w:r w:rsidRPr="00F242FB">
        <w:rPr>
          <w:rFonts w:eastAsia="Calibri"/>
          <w:color w:val="000000"/>
          <w:sz w:val="24"/>
          <w:szCs w:val="24"/>
        </w:rPr>
        <w:t>.</w:t>
      </w:r>
    </w:p>
    <w:p w14:paraId="1B438D16" w14:textId="249D6B3B" w:rsidR="002F15F3" w:rsidRPr="00F242FB" w:rsidRDefault="002F15F3" w:rsidP="00F242FB">
      <w:pPr>
        <w:pStyle w:val="ListParagraph"/>
        <w:numPr>
          <w:ilvl w:val="0"/>
          <w:numId w:val="4"/>
        </w:numPr>
        <w:tabs>
          <w:tab w:val="left" w:pos="360"/>
          <w:tab w:val="left" w:pos="1008"/>
          <w:tab w:val="left" w:pos="1170"/>
        </w:tabs>
        <w:spacing w:before="50" w:after="0" w:line="233" w:lineRule="exact"/>
        <w:jc w:val="both"/>
        <w:textAlignment w:val="baseline"/>
        <w:rPr>
          <w:rFonts w:eastAsia="Calibri"/>
          <w:color w:val="000000"/>
          <w:sz w:val="24"/>
          <w:szCs w:val="24"/>
        </w:rPr>
      </w:pPr>
      <w:r w:rsidRPr="00F242FB">
        <w:rPr>
          <w:rFonts w:eastAsia="Calibri"/>
          <w:color w:val="000000"/>
          <w:sz w:val="24"/>
          <w:szCs w:val="24"/>
        </w:rPr>
        <w:t>Upload fully signed</w:t>
      </w:r>
      <w:r w:rsidR="008768A0" w:rsidRPr="00F242FB">
        <w:rPr>
          <w:rFonts w:eastAsia="Calibri"/>
          <w:color w:val="000000"/>
          <w:sz w:val="24"/>
          <w:szCs w:val="24"/>
        </w:rPr>
        <w:t xml:space="preserve"> and approved</w:t>
      </w:r>
      <w:r w:rsidRPr="00F242FB">
        <w:rPr>
          <w:rFonts w:eastAsia="Calibri"/>
          <w:color w:val="000000"/>
          <w:sz w:val="24"/>
          <w:szCs w:val="24"/>
        </w:rPr>
        <w:t xml:space="preserve"> agreement to the corresponding application in </w:t>
      </w:r>
      <w:proofErr w:type="spellStart"/>
      <w:r w:rsidRPr="00F242FB">
        <w:rPr>
          <w:rFonts w:eastAsia="Calibri"/>
          <w:color w:val="000000"/>
          <w:sz w:val="24"/>
          <w:szCs w:val="24"/>
        </w:rPr>
        <w:t>EGrants</w:t>
      </w:r>
      <w:proofErr w:type="spellEnd"/>
      <w:r w:rsidR="008768A0" w:rsidRPr="00F242FB">
        <w:rPr>
          <w:rFonts w:eastAsia="Calibri"/>
          <w:color w:val="000000"/>
          <w:sz w:val="24"/>
          <w:szCs w:val="24"/>
        </w:rPr>
        <w:t xml:space="preserve"> through the amendment process.</w:t>
      </w:r>
    </w:p>
    <w:p w14:paraId="0988564B" w14:textId="77777777" w:rsidR="002F15F3" w:rsidRPr="00F242FB" w:rsidRDefault="002F15F3" w:rsidP="00F242FB">
      <w:pPr>
        <w:tabs>
          <w:tab w:val="left" w:pos="360"/>
          <w:tab w:val="left" w:pos="1008"/>
          <w:tab w:val="left" w:pos="1170"/>
        </w:tabs>
        <w:spacing w:before="50" w:after="0" w:line="233" w:lineRule="exact"/>
        <w:ind w:hanging="90"/>
        <w:jc w:val="both"/>
        <w:textAlignment w:val="baseline"/>
        <w:rPr>
          <w:rFonts w:eastAsia="Calibri"/>
          <w:b/>
          <w:bCs/>
          <w:color w:val="000000"/>
          <w:sz w:val="24"/>
          <w:szCs w:val="24"/>
        </w:rPr>
      </w:pPr>
    </w:p>
    <w:p w14:paraId="4E6331CB" w14:textId="77777777" w:rsidR="002F15F3" w:rsidRPr="00F242FB" w:rsidRDefault="002F15F3" w:rsidP="002F15F3">
      <w:pPr>
        <w:ind w:left="144" w:firstLine="36"/>
        <w:rPr>
          <w:b/>
          <w:bCs/>
          <w:sz w:val="24"/>
          <w:szCs w:val="24"/>
        </w:rPr>
      </w:pPr>
      <w:r w:rsidRPr="00F242FB">
        <w:rPr>
          <w:b/>
          <w:bCs/>
          <w:sz w:val="24"/>
          <w:szCs w:val="24"/>
        </w:rPr>
        <w:t>Post-Award Process</w:t>
      </w:r>
    </w:p>
    <w:p w14:paraId="4E7A1B93" w14:textId="77777777" w:rsidR="002F15F3" w:rsidRPr="00F242FB" w:rsidRDefault="002F15F3" w:rsidP="00F242FB">
      <w:pPr>
        <w:pStyle w:val="ListParagraph"/>
        <w:numPr>
          <w:ilvl w:val="0"/>
          <w:numId w:val="6"/>
        </w:numPr>
        <w:tabs>
          <w:tab w:val="left" w:pos="360"/>
          <w:tab w:val="left" w:pos="1008"/>
        </w:tabs>
        <w:spacing w:after="0" w:line="263" w:lineRule="exact"/>
        <w:ind w:right="360"/>
        <w:textAlignment w:val="baseline"/>
        <w:rPr>
          <w:rFonts w:eastAsia="Calibri"/>
          <w:color w:val="000000"/>
          <w:sz w:val="24"/>
          <w:szCs w:val="24"/>
        </w:rPr>
      </w:pPr>
      <w:r w:rsidRPr="00F242FB">
        <w:rPr>
          <w:rFonts w:eastAsia="Calibri"/>
          <w:color w:val="000000"/>
          <w:sz w:val="24"/>
          <w:szCs w:val="24"/>
        </w:rPr>
        <w:t>Plan for submittal and approval quarterly financial and programmatic reporting (who submits, method, timing, who approves).</w:t>
      </w:r>
    </w:p>
    <w:p w14:paraId="3D80C6A5" w14:textId="77777777" w:rsidR="002F15F3" w:rsidRPr="00F242FB" w:rsidRDefault="002F15F3" w:rsidP="00F242FB">
      <w:pPr>
        <w:pStyle w:val="ListParagraph"/>
        <w:numPr>
          <w:ilvl w:val="0"/>
          <w:numId w:val="6"/>
        </w:numPr>
        <w:tabs>
          <w:tab w:val="left" w:pos="360"/>
          <w:tab w:val="left" w:pos="1008"/>
        </w:tabs>
        <w:spacing w:after="0" w:line="263" w:lineRule="exact"/>
        <w:ind w:right="360"/>
        <w:textAlignment w:val="baseline"/>
        <w:rPr>
          <w:rFonts w:eastAsia="Calibri"/>
          <w:color w:val="000000"/>
          <w:sz w:val="24"/>
          <w:szCs w:val="24"/>
        </w:rPr>
      </w:pPr>
      <w:r w:rsidRPr="00F242FB">
        <w:rPr>
          <w:rFonts w:eastAsia="Calibri"/>
          <w:color w:val="000000"/>
          <w:sz w:val="24"/>
          <w:szCs w:val="24"/>
        </w:rPr>
        <w:lastRenderedPageBreak/>
        <w:t>Plan for payment process to subrecipient.</w:t>
      </w:r>
    </w:p>
    <w:p w14:paraId="10518588" w14:textId="77777777" w:rsidR="002F15F3" w:rsidRPr="00F242FB" w:rsidRDefault="002F15F3" w:rsidP="00F242FB">
      <w:pPr>
        <w:pStyle w:val="ListParagraph"/>
        <w:numPr>
          <w:ilvl w:val="0"/>
          <w:numId w:val="6"/>
        </w:numPr>
        <w:tabs>
          <w:tab w:val="left" w:pos="360"/>
          <w:tab w:val="left" w:pos="1008"/>
        </w:tabs>
        <w:spacing w:after="0" w:line="263" w:lineRule="exact"/>
        <w:ind w:right="360"/>
        <w:textAlignment w:val="baseline"/>
        <w:rPr>
          <w:rFonts w:eastAsia="Calibri"/>
          <w:color w:val="000000"/>
          <w:sz w:val="24"/>
          <w:szCs w:val="24"/>
        </w:rPr>
      </w:pPr>
      <w:r w:rsidRPr="00F242FB">
        <w:rPr>
          <w:rFonts w:eastAsia="Calibri"/>
          <w:color w:val="000000"/>
          <w:sz w:val="24"/>
          <w:szCs w:val="24"/>
        </w:rPr>
        <w:t xml:space="preserve">Plan for monitoring of subrecipient to ensure compliance and objectives of the subaward are met. Outline the process the organization will follow for monitoring the subrecipient.  You can refer to the CVSSD Monitoring Policy for guidance.  </w:t>
      </w:r>
    </w:p>
    <w:p w14:paraId="6930246B" w14:textId="1109FEA3" w:rsidR="002F15F3" w:rsidRPr="0002511C" w:rsidRDefault="002F15F3" w:rsidP="002F15F3">
      <w:pPr>
        <w:pStyle w:val="ListParagraph"/>
        <w:numPr>
          <w:ilvl w:val="0"/>
          <w:numId w:val="6"/>
        </w:numPr>
        <w:tabs>
          <w:tab w:val="left" w:pos="360"/>
          <w:tab w:val="left" w:pos="1008"/>
        </w:tabs>
        <w:spacing w:after="0" w:line="263" w:lineRule="exact"/>
        <w:ind w:right="360"/>
        <w:textAlignment w:val="baseline"/>
        <w:rPr>
          <w:rFonts w:eastAsia="Calibri"/>
          <w:color w:val="000000"/>
          <w:sz w:val="24"/>
          <w:szCs w:val="24"/>
        </w:rPr>
      </w:pPr>
      <w:r w:rsidRPr="0002511C">
        <w:rPr>
          <w:rFonts w:eastAsia="Calibri"/>
          <w:color w:val="000000"/>
          <w:sz w:val="24"/>
          <w:szCs w:val="24"/>
        </w:rPr>
        <w:t>Process for closing out subaward.</w:t>
      </w:r>
    </w:p>
    <w:p w14:paraId="419CF036" w14:textId="77777777" w:rsidR="002F15F3" w:rsidRPr="00F242FB" w:rsidRDefault="002F15F3" w:rsidP="002F15F3">
      <w:pPr>
        <w:tabs>
          <w:tab w:val="left" w:pos="1008"/>
        </w:tabs>
        <w:spacing w:after="0" w:line="263" w:lineRule="exact"/>
        <w:ind w:right="360"/>
        <w:textAlignment w:val="baseline"/>
        <w:rPr>
          <w:rFonts w:eastAsia="Calibri"/>
          <w:color w:val="000000"/>
          <w:sz w:val="24"/>
          <w:szCs w:val="24"/>
        </w:rPr>
      </w:pPr>
    </w:p>
    <w:p w14:paraId="189CC971" w14:textId="77777777" w:rsidR="002F15F3" w:rsidRPr="00F242FB" w:rsidRDefault="002F15F3" w:rsidP="002F15F3">
      <w:pPr>
        <w:tabs>
          <w:tab w:val="left" w:pos="360"/>
          <w:tab w:val="left" w:pos="1008"/>
        </w:tabs>
        <w:spacing w:after="0" w:line="263" w:lineRule="exact"/>
        <w:ind w:right="360"/>
        <w:textAlignment w:val="baseline"/>
        <w:rPr>
          <w:rFonts w:eastAsia="Calibri"/>
          <w:color w:val="000000"/>
          <w:sz w:val="24"/>
          <w:szCs w:val="24"/>
        </w:rPr>
      </w:pPr>
    </w:p>
    <w:p w14:paraId="4237096E" w14:textId="3CB828F3" w:rsidR="008A5F45" w:rsidRDefault="002F15F3" w:rsidP="002F15F3">
      <w:pPr>
        <w:tabs>
          <w:tab w:val="left" w:pos="360"/>
          <w:tab w:val="left" w:pos="1008"/>
        </w:tabs>
        <w:spacing w:after="0" w:line="263" w:lineRule="exact"/>
        <w:ind w:right="360"/>
        <w:textAlignment w:val="baseline"/>
      </w:pPr>
      <w:r w:rsidRPr="00D05830">
        <w:rPr>
          <w:rFonts w:ascii="Calibri" w:eastAsia="Calibri" w:hAnsi="Calibri"/>
          <w:noProof/>
          <w:color w:val="000000"/>
        </w:rPr>
        <mc:AlternateContent>
          <mc:Choice Requires="wps">
            <w:drawing>
              <wp:anchor distT="45720" distB="45720" distL="114300" distR="114300" simplePos="0" relativeHeight="251659264" behindDoc="0" locked="0" layoutInCell="1" allowOverlap="1" wp14:anchorId="6680CB6D" wp14:editId="76090C7B">
                <wp:simplePos x="0" y="0"/>
                <wp:positionH relativeFrom="column">
                  <wp:posOffset>-371475</wp:posOffset>
                </wp:positionH>
                <wp:positionV relativeFrom="paragraph">
                  <wp:posOffset>0</wp:posOffset>
                </wp:positionV>
                <wp:extent cx="6616065" cy="65989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065" cy="6598920"/>
                        </a:xfrm>
                        <a:prstGeom prst="rect">
                          <a:avLst/>
                        </a:prstGeom>
                        <a:solidFill>
                          <a:srgbClr val="FFFFFF"/>
                        </a:solidFill>
                        <a:ln w="9525">
                          <a:noFill/>
                          <a:miter lim="800000"/>
                          <a:headEnd/>
                          <a:tailEnd/>
                        </a:ln>
                      </wps:spPr>
                      <wps:txbx>
                        <w:txbxContent>
                          <w:p w14:paraId="67AED6C4" w14:textId="77777777" w:rsidR="002F15F3" w:rsidRDefault="002F15F3" w:rsidP="002F15F3">
                            <w:r>
                              <w:rPr>
                                <w:noProof/>
                              </w:rPr>
                              <w:drawing>
                                <wp:inline distT="0" distB="0" distL="0" distR="0" wp14:anchorId="65588492" wp14:editId="0E2D402B">
                                  <wp:extent cx="6416256" cy="6392174"/>
                                  <wp:effectExtent l="0" t="0" r="22860" b="0"/>
                                  <wp:docPr id="113078812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80CB6D" id="_x0000_t202" coordsize="21600,21600" o:spt="202" path="m,l,21600r21600,l21600,xe">
                <v:stroke joinstyle="miter"/>
                <v:path gradientshapeok="t" o:connecttype="rect"/>
              </v:shapetype>
              <v:shape id="Text Box 2" o:spid="_x0000_s1026" type="#_x0000_t202" style="position:absolute;margin-left:-29.25pt;margin-top:0;width:520.95pt;height:51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MAGDgIAAPc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lwup8t8ueBMUmy5WN2sZmksmSierzv04ZOCjkWj5EhTTfDi+OBDLEcUzynxNQ9G1zttTHJw&#10;X20NsqMgBezSSh28SjOW9SVfLWaLhGwh3k/i6HQghRrdlfwmj2vUTKTjo61TShDajDZVYuyZn0jJ&#10;SE4YqoESI08V1CdiCmFUIv0cMlrA35z1pMKS+18HgYoz89kS26vpfB5lm5z54j1Rw/A6Ul1HhJUE&#10;VfLA2WhuQ5J65MHCHU2l0Ymvl0rOtZK6Eo3nnxDle+2nrJf/uvkDAAD//wMAUEsDBBQABgAIAAAA&#10;IQA8YiVZ3gAAAAkBAAAPAAAAZHJzL2Rvd25yZXYueG1sTI9BbsIwEEX3lXoHayp1U4FTIJCEOKit&#10;1KpbKAdw4iGJiMdRbEi4faershz9pz/v57vJduKKg28dKXidRyCQKmdaqhUcfz5nCQgfNBndOUIF&#10;N/SwKx4fcp0ZN9Ier4dQCy4hn2kFTQh9JqWvGrTaz12PxNnJDVYHPodamkGPXG47uYiitbS6Jf7Q&#10;6B4/GqzOh4tVcPoeX+J0LL/CcbNfrd91uyndTannp+ltCyLgFP5h+NNndSjYqXQXMl50CmZxEjOq&#10;gBdxnCbLFYiSuWiZLkAWubxfUPwCAAD//wMAUEsBAi0AFAAGAAgAAAAhALaDOJL+AAAA4QEAABMA&#10;AAAAAAAAAAAAAAAAAAAAAFtDb250ZW50X1R5cGVzXS54bWxQSwECLQAUAAYACAAAACEAOP0h/9YA&#10;AACUAQAACwAAAAAAAAAAAAAAAAAvAQAAX3JlbHMvLnJlbHNQSwECLQAUAAYACAAAACEAQNDABg4C&#10;AAD3AwAADgAAAAAAAAAAAAAAAAAuAgAAZHJzL2Uyb0RvYy54bWxQSwECLQAUAAYACAAAACEAPGIl&#10;Wd4AAAAJAQAADwAAAAAAAAAAAAAAAABoBAAAZHJzL2Rvd25yZXYueG1sUEsFBgAAAAAEAAQA8wAA&#10;AHMFAAAAAA==&#10;" stroked="f">
                <v:textbox>
                  <w:txbxContent>
                    <w:p w14:paraId="67AED6C4" w14:textId="77777777" w:rsidR="002F15F3" w:rsidRDefault="002F15F3" w:rsidP="002F15F3">
                      <w:r>
                        <w:rPr>
                          <w:noProof/>
                        </w:rPr>
                        <w:drawing>
                          <wp:inline distT="0" distB="0" distL="0" distR="0" wp14:anchorId="65588492" wp14:editId="0E2D402B">
                            <wp:extent cx="6416256" cy="6392174"/>
                            <wp:effectExtent l="0" t="0" r="22860" b="0"/>
                            <wp:docPr id="113078812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xbxContent>
                </v:textbox>
                <w10:wrap type="square"/>
              </v:shape>
            </w:pict>
          </mc:Fallback>
        </mc:AlternateContent>
      </w:r>
    </w:p>
    <w:sectPr w:rsidR="008A5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6E4C"/>
    <w:multiLevelType w:val="multilevel"/>
    <w:tmpl w:val="54B61C8C"/>
    <w:lvl w:ilvl="0">
      <w:start w:val="1"/>
      <w:numFmt w:val="bullet"/>
      <w:lvlText w:val=""/>
      <w:lvlJc w:val="left"/>
      <w:pPr>
        <w:tabs>
          <w:tab w:val="left" w:pos="360"/>
        </w:tabs>
      </w:pPr>
      <w:rPr>
        <w:rFonts w:ascii="Wingdings" w:hAnsi="Wingding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312B73"/>
    <w:multiLevelType w:val="hybridMultilevel"/>
    <w:tmpl w:val="072A2B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5086B"/>
    <w:multiLevelType w:val="hybridMultilevel"/>
    <w:tmpl w:val="5866A7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BA4866"/>
    <w:multiLevelType w:val="hybridMultilevel"/>
    <w:tmpl w:val="7B6C83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616BC6"/>
    <w:multiLevelType w:val="hybridMultilevel"/>
    <w:tmpl w:val="AE0EE9D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6EDE0EAF"/>
    <w:multiLevelType w:val="multilevel"/>
    <w:tmpl w:val="5ED0C058"/>
    <w:lvl w:ilvl="0">
      <w:start w:val="1"/>
      <w:numFmt w:val="bullet"/>
      <w:lvlText w:val=""/>
      <w:lvlJc w:val="left"/>
      <w:pPr>
        <w:tabs>
          <w:tab w:val="left" w:pos="360"/>
        </w:tabs>
      </w:pPr>
      <w:rPr>
        <w:rFonts w:ascii="Wingdings" w:hAnsi="Wingding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6919831">
    <w:abstractNumId w:val="5"/>
  </w:num>
  <w:num w:numId="2" w16cid:durableId="616715737">
    <w:abstractNumId w:val="0"/>
  </w:num>
  <w:num w:numId="3" w16cid:durableId="1137378773">
    <w:abstractNumId w:val="4"/>
  </w:num>
  <w:num w:numId="4" w16cid:durableId="1839345541">
    <w:abstractNumId w:val="2"/>
  </w:num>
  <w:num w:numId="5" w16cid:durableId="586619152">
    <w:abstractNumId w:val="1"/>
  </w:num>
  <w:num w:numId="6" w16cid:durableId="1958367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5F3"/>
    <w:rsid w:val="0002511C"/>
    <w:rsid w:val="00122BD5"/>
    <w:rsid w:val="00140BB0"/>
    <w:rsid w:val="00211AC9"/>
    <w:rsid w:val="00217ED2"/>
    <w:rsid w:val="002F15F3"/>
    <w:rsid w:val="003B79C7"/>
    <w:rsid w:val="00420D8C"/>
    <w:rsid w:val="004D76B1"/>
    <w:rsid w:val="0051625F"/>
    <w:rsid w:val="00680832"/>
    <w:rsid w:val="006B4222"/>
    <w:rsid w:val="006D71AD"/>
    <w:rsid w:val="00714CAC"/>
    <w:rsid w:val="0072677E"/>
    <w:rsid w:val="0075185D"/>
    <w:rsid w:val="00752AA9"/>
    <w:rsid w:val="00853D5F"/>
    <w:rsid w:val="008768A0"/>
    <w:rsid w:val="008A5F45"/>
    <w:rsid w:val="00971E28"/>
    <w:rsid w:val="009C2EE8"/>
    <w:rsid w:val="00A94E69"/>
    <w:rsid w:val="00AB3B70"/>
    <w:rsid w:val="00B547CF"/>
    <w:rsid w:val="00BE165E"/>
    <w:rsid w:val="00D44D9C"/>
    <w:rsid w:val="00E666C4"/>
    <w:rsid w:val="00E80AE6"/>
    <w:rsid w:val="00F015F6"/>
    <w:rsid w:val="00F242FB"/>
    <w:rsid w:val="00F55E68"/>
    <w:rsid w:val="00FC6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8B80"/>
  <w15:chartTrackingRefBased/>
  <w15:docId w15:val="{9437009F-4EDA-4512-8926-BD6DD6AB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5F3"/>
  </w:style>
  <w:style w:type="paragraph" w:styleId="Heading1">
    <w:name w:val="heading 1"/>
    <w:basedOn w:val="Normal"/>
    <w:next w:val="Normal"/>
    <w:link w:val="Heading1Char"/>
    <w:uiPriority w:val="9"/>
    <w:qFormat/>
    <w:rsid w:val="002F1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5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5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5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5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5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5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5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5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5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5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5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5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5F3"/>
    <w:rPr>
      <w:rFonts w:eastAsiaTheme="majorEastAsia" w:cstheme="majorBidi"/>
      <w:color w:val="272727" w:themeColor="text1" w:themeTint="D8"/>
    </w:rPr>
  </w:style>
  <w:style w:type="paragraph" w:styleId="Title">
    <w:name w:val="Title"/>
    <w:basedOn w:val="Normal"/>
    <w:next w:val="Normal"/>
    <w:link w:val="TitleChar"/>
    <w:uiPriority w:val="10"/>
    <w:qFormat/>
    <w:rsid w:val="002F1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5F3"/>
    <w:pPr>
      <w:spacing w:before="160"/>
      <w:jc w:val="center"/>
    </w:pPr>
    <w:rPr>
      <w:i/>
      <w:iCs/>
      <w:color w:val="404040" w:themeColor="text1" w:themeTint="BF"/>
    </w:rPr>
  </w:style>
  <w:style w:type="character" w:customStyle="1" w:styleId="QuoteChar">
    <w:name w:val="Quote Char"/>
    <w:basedOn w:val="DefaultParagraphFont"/>
    <w:link w:val="Quote"/>
    <w:uiPriority w:val="29"/>
    <w:rsid w:val="002F15F3"/>
    <w:rPr>
      <w:i/>
      <w:iCs/>
      <w:color w:val="404040" w:themeColor="text1" w:themeTint="BF"/>
    </w:rPr>
  </w:style>
  <w:style w:type="paragraph" w:styleId="ListParagraph">
    <w:name w:val="List Paragraph"/>
    <w:basedOn w:val="Normal"/>
    <w:uiPriority w:val="34"/>
    <w:qFormat/>
    <w:rsid w:val="002F15F3"/>
    <w:pPr>
      <w:ind w:left="720"/>
      <w:contextualSpacing/>
    </w:pPr>
  </w:style>
  <w:style w:type="character" w:styleId="IntenseEmphasis">
    <w:name w:val="Intense Emphasis"/>
    <w:basedOn w:val="DefaultParagraphFont"/>
    <w:uiPriority w:val="21"/>
    <w:qFormat/>
    <w:rsid w:val="002F15F3"/>
    <w:rPr>
      <w:i/>
      <w:iCs/>
      <w:color w:val="0F4761" w:themeColor="accent1" w:themeShade="BF"/>
    </w:rPr>
  </w:style>
  <w:style w:type="paragraph" w:styleId="IntenseQuote">
    <w:name w:val="Intense Quote"/>
    <w:basedOn w:val="Normal"/>
    <w:next w:val="Normal"/>
    <w:link w:val="IntenseQuoteChar"/>
    <w:uiPriority w:val="30"/>
    <w:qFormat/>
    <w:rsid w:val="002F1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5F3"/>
    <w:rPr>
      <w:i/>
      <w:iCs/>
      <w:color w:val="0F4761" w:themeColor="accent1" w:themeShade="BF"/>
    </w:rPr>
  </w:style>
  <w:style w:type="character" w:styleId="IntenseReference">
    <w:name w:val="Intense Reference"/>
    <w:basedOn w:val="DefaultParagraphFont"/>
    <w:uiPriority w:val="32"/>
    <w:qFormat/>
    <w:rsid w:val="002F15F3"/>
    <w:rPr>
      <w:b/>
      <w:bCs/>
      <w:smallCaps/>
      <w:color w:val="0F4761" w:themeColor="accent1" w:themeShade="BF"/>
      <w:spacing w:val="5"/>
    </w:rPr>
  </w:style>
  <w:style w:type="character" w:styleId="Hyperlink">
    <w:name w:val="Hyperlink"/>
    <w:basedOn w:val="DefaultParagraphFont"/>
    <w:uiPriority w:val="99"/>
    <w:unhideWhenUsed/>
    <w:rsid w:val="002F15F3"/>
    <w:rPr>
      <w:color w:val="467886" w:themeColor="hyperlink"/>
      <w:u w:val="single"/>
    </w:rPr>
  </w:style>
  <w:style w:type="character" w:styleId="CommentReference">
    <w:name w:val="annotation reference"/>
    <w:basedOn w:val="DefaultParagraphFont"/>
    <w:uiPriority w:val="99"/>
    <w:semiHidden/>
    <w:unhideWhenUsed/>
    <w:rsid w:val="002F15F3"/>
    <w:rPr>
      <w:sz w:val="16"/>
      <w:szCs w:val="16"/>
    </w:rPr>
  </w:style>
  <w:style w:type="paragraph" w:styleId="CommentText">
    <w:name w:val="annotation text"/>
    <w:basedOn w:val="Normal"/>
    <w:link w:val="CommentTextChar"/>
    <w:uiPriority w:val="99"/>
    <w:unhideWhenUsed/>
    <w:rsid w:val="002F15F3"/>
    <w:pPr>
      <w:spacing w:line="240" w:lineRule="auto"/>
    </w:pPr>
    <w:rPr>
      <w:sz w:val="20"/>
      <w:szCs w:val="20"/>
    </w:rPr>
  </w:style>
  <w:style w:type="character" w:customStyle="1" w:styleId="CommentTextChar">
    <w:name w:val="Comment Text Char"/>
    <w:basedOn w:val="DefaultParagraphFont"/>
    <w:link w:val="CommentText"/>
    <w:uiPriority w:val="99"/>
    <w:rsid w:val="002F15F3"/>
    <w:rPr>
      <w:sz w:val="20"/>
      <w:szCs w:val="20"/>
    </w:rPr>
  </w:style>
  <w:style w:type="character" w:styleId="UnresolvedMention">
    <w:name w:val="Unresolved Mention"/>
    <w:basedOn w:val="DefaultParagraphFont"/>
    <w:uiPriority w:val="99"/>
    <w:semiHidden/>
    <w:unhideWhenUsed/>
    <w:rsid w:val="004D76B1"/>
    <w:rPr>
      <w:color w:val="605E5C"/>
      <w:shd w:val="clear" w:color="auto" w:fill="E1DFDD"/>
    </w:rPr>
  </w:style>
  <w:style w:type="paragraph" w:styleId="Revision">
    <w:name w:val="Revision"/>
    <w:hidden/>
    <w:uiPriority w:val="99"/>
    <w:semiHidden/>
    <w:rsid w:val="00F015F6"/>
    <w:pPr>
      <w:spacing w:after="0" w:line="240" w:lineRule="auto"/>
    </w:pPr>
  </w:style>
  <w:style w:type="paragraph" w:styleId="CommentSubject">
    <w:name w:val="annotation subject"/>
    <w:basedOn w:val="CommentText"/>
    <w:next w:val="CommentText"/>
    <w:link w:val="CommentSubjectChar"/>
    <w:uiPriority w:val="99"/>
    <w:semiHidden/>
    <w:unhideWhenUsed/>
    <w:rsid w:val="00F55E68"/>
    <w:rPr>
      <w:b/>
      <w:bCs/>
    </w:rPr>
  </w:style>
  <w:style w:type="character" w:customStyle="1" w:styleId="CommentSubjectChar">
    <w:name w:val="Comment Subject Char"/>
    <w:basedOn w:val="CommentTextChar"/>
    <w:link w:val="CommentSubject"/>
    <w:uiPriority w:val="99"/>
    <w:semiHidden/>
    <w:rsid w:val="00F55E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j.state.or.us/wp-content/uploads/2026/01/Guidance-for-Drafting-a-Subaward-Agreement-for-Federal-Funds.pdf" TargetMode="Externa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hyperlink" Target="https://www.doj.state.or.us/wp-content/uploads/2019/04/CVSSD_VOCA_Contract_Subaward_checklist.pdf" TargetMode="External"/><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fr.gov/current/title-2/subtitle-A/chapter-II/part-200/subpart-F" TargetMode="External"/><Relationship Id="rId11" Type="http://schemas.openxmlformats.org/officeDocument/2006/relationships/diagramQuickStyle" Target="diagrams/quickStyle1.xml"/><Relationship Id="rId5" Type="http://schemas.openxmlformats.org/officeDocument/2006/relationships/hyperlink" Target="https://www.ecfr.gov/current/title-2/subtitle-A/chapter-II/part-200" TargetMode="Externa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3570A9-2F50-4AC2-8932-55776C6B095F}"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US"/>
        </a:p>
      </dgm:t>
    </dgm:pt>
    <dgm:pt modelId="{BB78F4D6-A65E-4CCC-96DE-C9AF79497DA3}">
      <dgm:prSet phldrT="[Text]"/>
      <dgm:spPr/>
      <dgm:t>
        <a:bodyPr/>
        <a:lstStyle/>
        <a:p>
          <a:r>
            <a:rPr lang="en-US"/>
            <a:t>Federal Awarding Agency (OVC or OVW)</a:t>
          </a:r>
        </a:p>
      </dgm:t>
    </dgm:pt>
    <dgm:pt modelId="{9A524536-9DA5-4376-AF02-A0453C78D431}" type="parTrans" cxnId="{D8C967EC-4648-468D-94D6-12C10A75D5D9}">
      <dgm:prSet/>
      <dgm:spPr/>
      <dgm:t>
        <a:bodyPr/>
        <a:lstStyle/>
        <a:p>
          <a:endParaRPr lang="en-US"/>
        </a:p>
      </dgm:t>
    </dgm:pt>
    <dgm:pt modelId="{6D42DF42-47BA-4996-9F08-552E2C9D24FA}" type="sibTrans" cxnId="{D8C967EC-4648-468D-94D6-12C10A75D5D9}">
      <dgm:prSet/>
      <dgm:spPr/>
      <dgm:t>
        <a:bodyPr/>
        <a:lstStyle/>
        <a:p>
          <a:endParaRPr lang="en-US"/>
        </a:p>
      </dgm:t>
    </dgm:pt>
    <dgm:pt modelId="{1D888A24-C821-4D5A-B0F3-B1B4CE2E3DD7}">
      <dgm:prSet phldrT="[Text]"/>
      <dgm:spPr/>
      <dgm:t>
        <a:bodyPr/>
        <a:lstStyle/>
        <a:p>
          <a:r>
            <a:rPr lang="en-US"/>
            <a:t>CVSSD (State Administering Agency)</a:t>
          </a:r>
        </a:p>
      </dgm:t>
    </dgm:pt>
    <dgm:pt modelId="{DD768847-A01E-486F-ABED-6C79C6CCDB1E}" type="parTrans" cxnId="{920EC9D9-AF5E-49F0-8F8D-6F4950C6C537}">
      <dgm:prSet/>
      <dgm:spPr/>
      <dgm:t>
        <a:bodyPr/>
        <a:lstStyle/>
        <a:p>
          <a:endParaRPr lang="en-US"/>
        </a:p>
      </dgm:t>
    </dgm:pt>
    <dgm:pt modelId="{1B44D802-6A3F-458E-8F3E-B7625CAEBEFD}" type="sibTrans" cxnId="{920EC9D9-AF5E-49F0-8F8D-6F4950C6C537}">
      <dgm:prSet/>
      <dgm:spPr/>
      <dgm:t>
        <a:bodyPr/>
        <a:lstStyle/>
        <a:p>
          <a:endParaRPr lang="en-US"/>
        </a:p>
      </dgm:t>
    </dgm:pt>
    <dgm:pt modelId="{B00F0C57-D83C-4014-AEF2-D5A6425B7779}">
      <dgm:prSet phldrT="[Text]"/>
      <dgm:spPr/>
      <dgm:t>
        <a:bodyPr/>
        <a:lstStyle/>
        <a:p>
          <a:r>
            <a:rPr lang="en-US"/>
            <a:t>makes awards to subrecipient programs and monitors for compliance</a:t>
          </a:r>
        </a:p>
      </dgm:t>
    </dgm:pt>
    <dgm:pt modelId="{EFDA15D7-7F68-49EA-9817-CB8AE7593518}" type="parTrans" cxnId="{03EDD1CD-408D-4030-8834-DA467AE74A6D}">
      <dgm:prSet/>
      <dgm:spPr/>
      <dgm:t>
        <a:bodyPr/>
        <a:lstStyle/>
        <a:p>
          <a:endParaRPr lang="en-US"/>
        </a:p>
      </dgm:t>
    </dgm:pt>
    <dgm:pt modelId="{7DF9311F-8A11-4946-96A5-E0BDC99514D4}" type="sibTrans" cxnId="{03EDD1CD-408D-4030-8834-DA467AE74A6D}">
      <dgm:prSet/>
      <dgm:spPr/>
      <dgm:t>
        <a:bodyPr/>
        <a:lstStyle/>
        <a:p>
          <a:endParaRPr lang="en-US"/>
        </a:p>
      </dgm:t>
    </dgm:pt>
    <dgm:pt modelId="{CB68CAAA-01BD-489E-95CC-4EB6E27D1C49}">
      <dgm:prSet phldrT="[Text]"/>
      <dgm:spPr/>
      <dgm:t>
        <a:bodyPr/>
        <a:lstStyle/>
        <a:p>
          <a:r>
            <a:rPr lang="en-US"/>
            <a:t>Subrecipient Program</a:t>
          </a:r>
        </a:p>
      </dgm:t>
    </dgm:pt>
    <dgm:pt modelId="{AD52C755-92D1-4ADC-8F21-8BE81AC238AB}" type="parTrans" cxnId="{9583D98B-53F3-41A6-9FCF-DFC91526E21E}">
      <dgm:prSet/>
      <dgm:spPr/>
      <dgm:t>
        <a:bodyPr/>
        <a:lstStyle/>
        <a:p>
          <a:endParaRPr lang="en-US"/>
        </a:p>
      </dgm:t>
    </dgm:pt>
    <dgm:pt modelId="{15DE3B2D-AB92-44E8-9B0F-F061884AC313}" type="sibTrans" cxnId="{9583D98B-53F3-41A6-9FCF-DFC91526E21E}">
      <dgm:prSet/>
      <dgm:spPr/>
      <dgm:t>
        <a:bodyPr/>
        <a:lstStyle/>
        <a:p>
          <a:endParaRPr lang="en-US"/>
        </a:p>
      </dgm:t>
    </dgm:pt>
    <dgm:pt modelId="{48B39563-7F4C-4CDF-BF5C-01192B5C97B3}">
      <dgm:prSet phldrT="[Text]"/>
      <dgm:spPr/>
      <dgm:t>
        <a:bodyPr/>
        <a:lstStyle/>
        <a:p>
          <a:r>
            <a:rPr lang="en-US"/>
            <a:t>if passing grant funds through to secondary recipient, must pass requirements through and monitor for compliance</a:t>
          </a:r>
        </a:p>
      </dgm:t>
    </dgm:pt>
    <dgm:pt modelId="{793AB8A8-3B50-4056-BCB6-599E95A41F2D}" type="parTrans" cxnId="{13D46824-DCBE-4AE8-9011-7597D6FABE36}">
      <dgm:prSet/>
      <dgm:spPr/>
      <dgm:t>
        <a:bodyPr/>
        <a:lstStyle/>
        <a:p>
          <a:endParaRPr lang="en-US"/>
        </a:p>
      </dgm:t>
    </dgm:pt>
    <dgm:pt modelId="{F6FA1A5A-7A32-4463-A736-0EEFD2A7066E}" type="sibTrans" cxnId="{13D46824-DCBE-4AE8-9011-7597D6FABE36}">
      <dgm:prSet/>
      <dgm:spPr/>
      <dgm:t>
        <a:bodyPr/>
        <a:lstStyle/>
        <a:p>
          <a:endParaRPr lang="en-US"/>
        </a:p>
      </dgm:t>
    </dgm:pt>
    <dgm:pt modelId="{DD3FD06B-E3F6-4AB2-BAA3-A704F1047617}">
      <dgm:prSet/>
      <dgm:spPr/>
      <dgm:t>
        <a:bodyPr/>
        <a:lstStyle/>
        <a:p>
          <a:r>
            <a:rPr lang="en-US"/>
            <a:t>Second Tier Subrecipient</a:t>
          </a:r>
        </a:p>
      </dgm:t>
    </dgm:pt>
    <dgm:pt modelId="{A2D6F090-EB56-4C5E-A912-861CC9CC20B5}" type="parTrans" cxnId="{10509AB7-C42B-4653-89D5-B90E7AF9A9E1}">
      <dgm:prSet/>
      <dgm:spPr/>
      <dgm:t>
        <a:bodyPr/>
        <a:lstStyle/>
        <a:p>
          <a:endParaRPr lang="en-US"/>
        </a:p>
      </dgm:t>
    </dgm:pt>
    <dgm:pt modelId="{155EA757-655A-461F-A319-CD3DDBD86B5C}" type="sibTrans" cxnId="{10509AB7-C42B-4653-89D5-B90E7AF9A9E1}">
      <dgm:prSet/>
      <dgm:spPr/>
      <dgm:t>
        <a:bodyPr/>
        <a:lstStyle/>
        <a:p>
          <a:endParaRPr lang="en-US"/>
        </a:p>
      </dgm:t>
    </dgm:pt>
    <dgm:pt modelId="{4E11F732-FE73-48D7-BF8A-306663B2AD63}" type="pres">
      <dgm:prSet presAssocID="{313570A9-2F50-4AC2-8932-55776C6B095F}" presName="rootnode" presStyleCnt="0">
        <dgm:presLayoutVars>
          <dgm:chMax/>
          <dgm:chPref/>
          <dgm:dir/>
          <dgm:animLvl val="lvl"/>
        </dgm:presLayoutVars>
      </dgm:prSet>
      <dgm:spPr/>
    </dgm:pt>
    <dgm:pt modelId="{D84B9070-BE1A-4E8F-9189-FD42AE62C69D}" type="pres">
      <dgm:prSet presAssocID="{BB78F4D6-A65E-4CCC-96DE-C9AF79497DA3}" presName="composite" presStyleCnt="0"/>
      <dgm:spPr/>
    </dgm:pt>
    <dgm:pt modelId="{6355EC0E-2E5B-49F1-B34A-F1DDBB1E2DBF}" type="pres">
      <dgm:prSet presAssocID="{BB78F4D6-A65E-4CCC-96DE-C9AF79497DA3}" presName="bentUpArrow1" presStyleLbl="alignImgPlace1" presStyleIdx="0" presStyleCnt="3"/>
      <dgm:spPr/>
    </dgm:pt>
    <dgm:pt modelId="{AB2FA276-25FF-4B02-9AC9-90443F5B5748}" type="pres">
      <dgm:prSet presAssocID="{BB78F4D6-A65E-4CCC-96DE-C9AF79497DA3}" presName="ParentText" presStyleLbl="node1" presStyleIdx="0" presStyleCnt="4" custLinFactNeighborX="939" custLinFactNeighborY="1341">
        <dgm:presLayoutVars>
          <dgm:chMax val="1"/>
          <dgm:chPref val="1"/>
          <dgm:bulletEnabled val="1"/>
        </dgm:presLayoutVars>
      </dgm:prSet>
      <dgm:spPr/>
    </dgm:pt>
    <dgm:pt modelId="{6F38E803-377E-4472-A7C5-E69A274D2C0A}" type="pres">
      <dgm:prSet presAssocID="{BB78F4D6-A65E-4CCC-96DE-C9AF79497DA3}" presName="ChildText" presStyleLbl="revTx" presStyleIdx="0" presStyleCnt="3">
        <dgm:presLayoutVars>
          <dgm:chMax val="0"/>
          <dgm:chPref val="0"/>
          <dgm:bulletEnabled val="1"/>
        </dgm:presLayoutVars>
      </dgm:prSet>
      <dgm:spPr/>
    </dgm:pt>
    <dgm:pt modelId="{BC628A0F-0C0E-431A-9CBC-74EEBF735715}" type="pres">
      <dgm:prSet presAssocID="{6D42DF42-47BA-4996-9F08-552E2C9D24FA}" presName="sibTrans" presStyleCnt="0"/>
      <dgm:spPr/>
    </dgm:pt>
    <dgm:pt modelId="{6A2FDB69-9C58-4AB8-8CF1-99E09EF9B7CC}" type="pres">
      <dgm:prSet presAssocID="{1D888A24-C821-4D5A-B0F3-B1B4CE2E3DD7}" presName="composite" presStyleCnt="0"/>
      <dgm:spPr/>
    </dgm:pt>
    <dgm:pt modelId="{7205864A-01F9-49F6-91CB-432FAEE7A64F}" type="pres">
      <dgm:prSet presAssocID="{1D888A24-C821-4D5A-B0F3-B1B4CE2E3DD7}" presName="bentUpArrow1" presStyleLbl="alignImgPlace1" presStyleIdx="1" presStyleCnt="3"/>
      <dgm:spPr/>
    </dgm:pt>
    <dgm:pt modelId="{B604997C-ABC7-4E3D-9D2A-57B0E5C54027}" type="pres">
      <dgm:prSet presAssocID="{1D888A24-C821-4D5A-B0F3-B1B4CE2E3DD7}" presName="ParentText" presStyleLbl="node1" presStyleIdx="1" presStyleCnt="4">
        <dgm:presLayoutVars>
          <dgm:chMax val="1"/>
          <dgm:chPref val="1"/>
          <dgm:bulletEnabled val="1"/>
        </dgm:presLayoutVars>
      </dgm:prSet>
      <dgm:spPr/>
    </dgm:pt>
    <dgm:pt modelId="{C7F5D0D8-2887-40E9-8913-4A206035DD0A}" type="pres">
      <dgm:prSet presAssocID="{1D888A24-C821-4D5A-B0F3-B1B4CE2E3DD7}" presName="ChildText" presStyleLbl="revTx" presStyleIdx="1" presStyleCnt="3">
        <dgm:presLayoutVars>
          <dgm:chMax val="0"/>
          <dgm:chPref val="0"/>
          <dgm:bulletEnabled val="1"/>
        </dgm:presLayoutVars>
      </dgm:prSet>
      <dgm:spPr/>
    </dgm:pt>
    <dgm:pt modelId="{79C33AE7-6DCB-4FED-A6CC-80251CF2C6A7}" type="pres">
      <dgm:prSet presAssocID="{1B44D802-6A3F-458E-8F3E-B7625CAEBEFD}" presName="sibTrans" presStyleCnt="0"/>
      <dgm:spPr/>
    </dgm:pt>
    <dgm:pt modelId="{3C07AFEF-C2FB-47EB-9C4E-B6604543A277}" type="pres">
      <dgm:prSet presAssocID="{CB68CAAA-01BD-489E-95CC-4EB6E27D1C49}" presName="composite" presStyleCnt="0"/>
      <dgm:spPr/>
    </dgm:pt>
    <dgm:pt modelId="{DA932657-5F4B-42EB-8407-15ECEEB272AC}" type="pres">
      <dgm:prSet presAssocID="{CB68CAAA-01BD-489E-95CC-4EB6E27D1C49}" presName="bentUpArrow1" presStyleLbl="alignImgPlace1" presStyleIdx="2" presStyleCnt="3"/>
      <dgm:spPr/>
    </dgm:pt>
    <dgm:pt modelId="{7F557766-BEDE-4055-9080-CC9C78BF9051}" type="pres">
      <dgm:prSet presAssocID="{CB68CAAA-01BD-489E-95CC-4EB6E27D1C49}" presName="ParentText" presStyleLbl="node1" presStyleIdx="2" presStyleCnt="4">
        <dgm:presLayoutVars>
          <dgm:chMax val="1"/>
          <dgm:chPref val="1"/>
          <dgm:bulletEnabled val="1"/>
        </dgm:presLayoutVars>
      </dgm:prSet>
      <dgm:spPr/>
    </dgm:pt>
    <dgm:pt modelId="{9066AC56-BCD0-4443-B40E-C93BE778E0C4}" type="pres">
      <dgm:prSet presAssocID="{CB68CAAA-01BD-489E-95CC-4EB6E27D1C49}" presName="ChildText" presStyleLbl="revTx" presStyleIdx="2" presStyleCnt="3">
        <dgm:presLayoutVars>
          <dgm:chMax val="0"/>
          <dgm:chPref val="0"/>
          <dgm:bulletEnabled val="1"/>
        </dgm:presLayoutVars>
      </dgm:prSet>
      <dgm:spPr/>
    </dgm:pt>
    <dgm:pt modelId="{5552E165-6F88-45A8-8FF9-639121B0EDC7}" type="pres">
      <dgm:prSet presAssocID="{15DE3B2D-AB92-44E8-9B0F-F061884AC313}" presName="sibTrans" presStyleCnt="0"/>
      <dgm:spPr/>
    </dgm:pt>
    <dgm:pt modelId="{A55756B0-C083-4A21-9DC3-28B324E41DF1}" type="pres">
      <dgm:prSet presAssocID="{DD3FD06B-E3F6-4AB2-BAA3-A704F1047617}" presName="composite" presStyleCnt="0"/>
      <dgm:spPr/>
    </dgm:pt>
    <dgm:pt modelId="{619E82EF-0912-43B8-8F96-6A785CD61A07}" type="pres">
      <dgm:prSet presAssocID="{DD3FD06B-E3F6-4AB2-BAA3-A704F1047617}" presName="ParentText" presStyleLbl="node1" presStyleIdx="3" presStyleCnt="4" custLinFactNeighborX="1743">
        <dgm:presLayoutVars>
          <dgm:chMax val="1"/>
          <dgm:chPref val="1"/>
          <dgm:bulletEnabled val="1"/>
        </dgm:presLayoutVars>
      </dgm:prSet>
      <dgm:spPr/>
    </dgm:pt>
  </dgm:ptLst>
  <dgm:cxnLst>
    <dgm:cxn modelId="{93E6190B-0B85-40AD-BE76-506E9F1AB228}" type="presOf" srcId="{DD3FD06B-E3F6-4AB2-BAA3-A704F1047617}" destId="{619E82EF-0912-43B8-8F96-6A785CD61A07}" srcOrd="0" destOrd="0" presId="urn:microsoft.com/office/officeart/2005/8/layout/StepDownProcess"/>
    <dgm:cxn modelId="{3543F919-76FB-438C-96FC-CF3DFB494846}" type="presOf" srcId="{B00F0C57-D83C-4014-AEF2-D5A6425B7779}" destId="{C7F5D0D8-2887-40E9-8913-4A206035DD0A}" srcOrd="0" destOrd="0" presId="urn:microsoft.com/office/officeart/2005/8/layout/StepDownProcess"/>
    <dgm:cxn modelId="{9F6E651F-4D5D-4D48-B100-ED01A634A850}" type="presOf" srcId="{CB68CAAA-01BD-489E-95CC-4EB6E27D1C49}" destId="{7F557766-BEDE-4055-9080-CC9C78BF9051}" srcOrd="0" destOrd="0" presId="urn:microsoft.com/office/officeart/2005/8/layout/StepDownProcess"/>
    <dgm:cxn modelId="{B3452722-7A9E-48B5-826F-71AAB1130F83}" type="presOf" srcId="{48B39563-7F4C-4CDF-BF5C-01192B5C97B3}" destId="{9066AC56-BCD0-4443-B40E-C93BE778E0C4}" srcOrd="0" destOrd="0" presId="urn:microsoft.com/office/officeart/2005/8/layout/StepDownProcess"/>
    <dgm:cxn modelId="{13D46824-DCBE-4AE8-9011-7597D6FABE36}" srcId="{CB68CAAA-01BD-489E-95CC-4EB6E27D1C49}" destId="{48B39563-7F4C-4CDF-BF5C-01192B5C97B3}" srcOrd="0" destOrd="0" parTransId="{793AB8A8-3B50-4056-BCB6-599E95A41F2D}" sibTransId="{F6FA1A5A-7A32-4463-A736-0EEFD2A7066E}"/>
    <dgm:cxn modelId="{BE20EA4E-8A4F-4894-B3A0-617F7302C9C2}" type="presOf" srcId="{1D888A24-C821-4D5A-B0F3-B1B4CE2E3DD7}" destId="{B604997C-ABC7-4E3D-9D2A-57B0E5C54027}" srcOrd="0" destOrd="0" presId="urn:microsoft.com/office/officeart/2005/8/layout/StepDownProcess"/>
    <dgm:cxn modelId="{9583D98B-53F3-41A6-9FCF-DFC91526E21E}" srcId="{313570A9-2F50-4AC2-8932-55776C6B095F}" destId="{CB68CAAA-01BD-489E-95CC-4EB6E27D1C49}" srcOrd="2" destOrd="0" parTransId="{AD52C755-92D1-4ADC-8F21-8BE81AC238AB}" sibTransId="{15DE3B2D-AB92-44E8-9B0F-F061884AC313}"/>
    <dgm:cxn modelId="{48A9B9A4-0A9B-4BA3-9B9D-8724F975EF72}" type="presOf" srcId="{BB78F4D6-A65E-4CCC-96DE-C9AF79497DA3}" destId="{AB2FA276-25FF-4B02-9AC9-90443F5B5748}" srcOrd="0" destOrd="0" presId="urn:microsoft.com/office/officeart/2005/8/layout/StepDownProcess"/>
    <dgm:cxn modelId="{98E797A6-167B-428D-B0E5-3D4A3D569B9B}" type="presOf" srcId="{313570A9-2F50-4AC2-8932-55776C6B095F}" destId="{4E11F732-FE73-48D7-BF8A-306663B2AD63}" srcOrd="0" destOrd="0" presId="urn:microsoft.com/office/officeart/2005/8/layout/StepDownProcess"/>
    <dgm:cxn modelId="{10509AB7-C42B-4653-89D5-B90E7AF9A9E1}" srcId="{313570A9-2F50-4AC2-8932-55776C6B095F}" destId="{DD3FD06B-E3F6-4AB2-BAA3-A704F1047617}" srcOrd="3" destOrd="0" parTransId="{A2D6F090-EB56-4C5E-A912-861CC9CC20B5}" sibTransId="{155EA757-655A-461F-A319-CD3DDBD86B5C}"/>
    <dgm:cxn modelId="{03EDD1CD-408D-4030-8834-DA467AE74A6D}" srcId="{1D888A24-C821-4D5A-B0F3-B1B4CE2E3DD7}" destId="{B00F0C57-D83C-4014-AEF2-D5A6425B7779}" srcOrd="0" destOrd="0" parTransId="{EFDA15D7-7F68-49EA-9817-CB8AE7593518}" sibTransId="{7DF9311F-8A11-4946-96A5-E0BDC99514D4}"/>
    <dgm:cxn modelId="{920EC9D9-AF5E-49F0-8F8D-6F4950C6C537}" srcId="{313570A9-2F50-4AC2-8932-55776C6B095F}" destId="{1D888A24-C821-4D5A-B0F3-B1B4CE2E3DD7}" srcOrd="1" destOrd="0" parTransId="{DD768847-A01E-486F-ABED-6C79C6CCDB1E}" sibTransId="{1B44D802-6A3F-458E-8F3E-B7625CAEBEFD}"/>
    <dgm:cxn modelId="{D8C967EC-4648-468D-94D6-12C10A75D5D9}" srcId="{313570A9-2F50-4AC2-8932-55776C6B095F}" destId="{BB78F4D6-A65E-4CCC-96DE-C9AF79497DA3}" srcOrd="0" destOrd="0" parTransId="{9A524536-9DA5-4376-AF02-A0453C78D431}" sibTransId="{6D42DF42-47BA-4996-9F08-552E2C9D24FA}"/>
    <dgm:cxn modelId="{4AA97985-8322-462E-B3F6-40056EE6876C}" type="presParOf" srcId="{4E11F732-FE73-48D7-BF8A-306663B2AD63}" destId="{D84B9070-BE1A-4E8F-9189-FD42AE62C69D}" srcOrd="0" destOrd="0" presId="urn:microsoft.com/office/officeart/2005/8/layout/StepDownProcess"/>
    <dgm:cxn modelId="{3F0E8F99-9DF1-4791-BCE9-2966961FDE30}" type="presParOf" srcId="{D84B9070-BE1A-4E8F-9189-FD42AE62C69D}" destId="{6355EC0E-2E5B-49F1-B34A-F1DDBB1E2DBF}" srcOrd="0" destOrd="0" presId="urn:microsoft.com/office/officeart/2005/8/layout/StepDownProcess"/>
    <dgm:cxn modelId="{C59265C1-136F-4901-A16C-FC1198C3C815}" type="presParOf" srcId="{D84B9070-BE1A-4E8F-9189-FD42AE62C69D}" destId="{AB2FA276-25FF-4B02-9AC9-90443F5B5748}" srcOrd="1" destOrd="0" presId="urn:microsoft.com/office/officeart/2005/8/layout/StepDownProcess"/>
    <dgm:cxn modelId="{FAD69BEA-EA0B-4580-A423-502A12AD24B9}" type="presParOf" srcId="{D84B9070-BE1A-4E8F-9189-FD42AE62C69D}" destId="{6F38E803-377E-4472-A7C5-E69A274D2C0A}" srcOrd="2" destOrd="0" presId="urn:microsoft.com/office/officeart/2005/8/layout/StepDownProcess"/>
    <dgm:cxn modelId="{252B8E6F-CCCB-4C07-A403-2A65F5CFE31E}" type="presParOf" srcId="{4E11F732-FE73-48D7-BF8A-306663B2AD63}" destId="{BC628A0F-0C0E-431A-9CBC-74EEBF735715}" srcOrd="1" destOrd="0" presId="urn:microsoft.com/office/officeart/2005/8/layout/StepDownProcess"/>
    <dgm:cxn modelId="{E0979D12-7B8C-4316-9145-4DD3A581F491}" type="presParOf" srcId="{4E11F732-FE73-48D7-BF8A-306663B2AD63}" destId="{6A2FDB69-9C58-4AB8-8CF1-99E09EF9B7CC}" srcOrd="2" destOrd="0" presId="urn:microsoft.com/office/officeart/2005/8/layout/StepDownProcess"/>
    <dgm:cxn modelId="{FE8D8005-A34C-4E32-A838-355836EE7248}" type="presParOf" srcId="{6A2FDB69-9C58-4AB8-8CF1-99E09EF9B7CC}" destId="{7205864A-01F9-49F6-91CB-432FAEE7A64F}" srcOrd="0" destOrd="0" presId="urn:microsoft.com/office/officeart/2005/8/layout/StepDownProcess"/>
    <dgm:cxn modelId="{CFEC998D-8EF7-4363-88AF-83ED1F665257}" type="presParOf" srcId="{6A2FDB69-9C58-4AB8-8CF1-99E09EF9B7CC}" destId="{B604997C-ABC7-4E3D-9D2A-57B0E5C54027}" srcOrd="1" destOrd="0" presId="urn:microsoft.com/office/officeart/2005/8/layout/StepDownProcess"/>
    <dgm:cxn modelId="{0B0D2474-7155-4145-89DF-1DA755E9B7E9}" type="presParOf" srcId="{6A2FDB69-9C58-4AB8-8CF1-99E09EF9B7CC}" destId="{C7F5D0D8-2887-40E9-8913-4A206035DD0A}" srcOrd="2" destOrd="0" presId="urn:microsoft.com/office/officeart/2005/8/layout/StepDownProcess"/>
    <dgm:cxn modelId="{ADA21DC5-D8BF-4F2E-B24D-8C6A3FF4F331}" type="presParOf" srcId="{4E11F732-FE73-48D7-BF8A-306663B2AD63}" destId="{79C33AE7-6DCB-4FED-A6CC-80251CF2C6A7}" srcOrd="3" destOrd="0" presId="urn:microsoft.com/office/officeart/2005/8/layout/StepDownProcess"/>
    <dgm:cxn modelId="{4FBD19C1-421E-465C-9D86-7E1553417DA0}" type="presParOf" srcId="{4E11F732-FE73-48D7-BF8A-306663B2AD63}" destId="{3C07AFEF-C2FB-47EB-9C4E-B6604543A277}" srcOrd="4" destOrd="0" presId="urn:microsoft.com/office/officeart/2005/8/layout/StepDownProcess"/>
    <dgm:cxn modelId="{973C6AE1-6F78-4CEF-BB8A-8BC829BF593A}" type="presParOf" srcId="{3C07AFEF-C2FB-47EB-9C4E-B6604543A277}" destId="{DA932657-5F4B-42EB-8407-15ECEEB272AC}" srcOrd="0" destOrd="0" presId="urn:microsoft.com/office/officeart/2005/8/layout/StepDownProcess"/>
    <dgm:cxn modelId="{93B7AB60-B631-4A7E-8E99-442CF47394E5}" type="presParOf" srcId="{3C07AFEF-C2FB-47EB-9C4E-B6604543A277}" destId="{7F557766-BEDE-4055-9080-CC9C78BF9051}" srcOrd="1" destOrd="0" presId="urn:microsoft.com/office/officeart/2005/8/layout/StepDownProcess"/>
    <dgm:cxn modelId="{0B1C048C-235A-4749-875A-E56812AE60E0}" type="presParOf" srcId="{3C07AFEF-C2FB-47EB-9C4E-B6604543A277}" destId="{9066AC56-BCD0-4443-B40E-C93BE778E0C4}" srcOrd="2" destOrd="0" presId="urn:microsoft.com/office/officeart/2005/8/layout/StepDownProcess"/>
    <dgm:cxn modelId="{887C25A5-A32B-4B02-962E-BF360D57A734}" type="presParOf" srcId="{4E11F732-FE73-48D7-BF8A-306663B2AD63}" destId="{5552E165-6F88-45A8-8FF9-639121B0EDC7}" srcOrd="5" destOrd="0" presId="urn:microsoft.com/office/officeart/2005/8/layout/StepDownProcess"/>
    <dgm:cxn modelId="{10D1DB1F-7622-4A6A-A1C2-4F15F32325E6}" type="presParOf" srcId="{4E11F732-FE73-48D7-BF8A-306663B2AD63}" destId="{A55756B0-C083-4A21-9DC3-28B324E41DF1}" srcOrd="6" destOrd="0" presId="urn:microsoft.com/office/officeart/2005/8/layout/StepDownProcess"/>
    <dgm:cxn modelId="{DC3A60D4-A60B-4C13-ADE5-DC51DF626E34}" type="presParOf" srcId="{A55756B0-C083-4A21-9DC3-28B324E41DF1}" destId="{619E82EF-0912-43B8-8F96-6A785CD61A07}" srcOrd="0" destOrd="0" presId="urn:microsoft.com/office/officeart/2005/8/layout/StepDown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55EC0E-2E5B-49F1-B34A-F1DDBB1E2DBF}">
      <dsp:nvSpPr>
        <dsp:cNvPr id="0" name=""/>
        <dsp:cNvSpPr/>
      </dsp:nvSpPr>
      <dsp:spPr>
        <a:xfrm rot="5400000">
          <a:off x="292953" y="1595540"/>
          <a:ext cx="1091679" cy="12428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B2FA276-25FF-4B02-9AC9-90443F5B5748}">
      <dsp:nvSpPr>
        <dsp:cNvPr id="0" name=""/>
        <dsp:cNvSpPr/>
      </dsp:nvSpPr>
      <dsp:spPr>
        <a:xfrm>
          <a:off x="20981" y="402641"/>
          <a:ext cx="1837746" cy="1286362"/>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Federal Awarding Agency (OVC or OVW)</a:t>
          </a:r>
        </a:p>
      </dsp:txBody>
      <dsp:txXfrm>
        <a:off x="83787" y="465447"/>
        <a:ext cx="1712134" cy="1160750"/>
      </dsp:txXfrm>
    </dsp:sp>
    <dsp:sp modelId="{6F38E803-377E-4472-A7C5-E69A274D2C0A}">
      <dsp:nvSpPr>
        <dsp:cNvPr id="0" name=""/>
        <dsp:cNvSpPr/>
      </dsp:nvSpPr>
      <dsp:spPr>
        <a:xfrm>
          <a:off x="1841470" y="508075"/>
          <a:ext cx="1336601" cy="1039694"/>
        </a:xfrm>
        <a:prstGeom prst="rect">
          <a:avLst/>
        </a:prstGeom>
        <a:noFill/>
        <a:ln>
          <a:noFill/>
        </a:ln>
        <a:effectLst/>
      </dsp:spPr>
      <dsp:style>
        <a:lnRef idx="0">
          <a:scrgbClr r="0" g="0" b="0"/>
        </a:lnRef>
        <a:fillRef idx="0">
          <a:scrgbClr r="0" g="0" b="0"/>
        </a:fillRef>
        <a:effectRef idx="0">
          <a:scrgbClr r="0" g="0" b="0"/>
        </a:effectRef>
        <a:fontRef idx="minor"/>
      </dsp:style>
    </dsp:sp>
    <dsp:sp modelId="{7205864A-01F9-49F6-91CB-432FAEE7A64F}">
      <dsp:nvSpPr>
        <dsp:cNvPr id="0" name=""/>
        <dsp:cNvSpPr/>
      </dsp:nvSpPr>
      <dsp:spPr>
        <a:xfrm rot="5400000">
          <a:off x="1816640" y="3040549"/>
          <a:ext cx="1091679" cy="12428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604997C-ABC7-4E3D-9D2A-57B0E5C54027}">
      <dsp:nvSpPr>
        <dsp:cNvPr id="0" name=""/>
        <dsp:cNvSpPr/>
      </dsp:nvSpPr>
      <dsp:spPr>
        <a:xfrm>
          <a:off x="1527411" y="1830400"/>
          <a:ext cx="1837746" cy="1286362"/>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CVSSD (State Administering Agency)</a:t>
          </a:r>
        </a:p>
      </dsp:txBody>
      <dsp:txXfrm>
        <a:off x="1590217" y="1893206"/>
        <a:ext cx="1712134" cy="1160750"/>
      </dsp:txXfrm>
    </dsp:sp>
    <dsp:sp modelId="{C7F5D0D8-2887-40E9-8913-4A206035DD0A}">
      <dsp:nvSpPr>
        <dsp:cNvPr id="0" name=""/>
        <dsp:cNvSpPr/>
      </dsp:nvSpPr>
      <dsp:spPr>
        <a:xfrm>
          <a:off x="3365157" y="1953084"/>
          <a:ext cx="1336601" cy="10396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ctr" anchorCtr="0">
          <a:noAutofit/>
        </a:bodyPr>
        <a:lstStyle/>
        <a:p>
          <a:pPr marL="57150" lvl="1" indent="-57150" algn="l" defTabSz="444500">
            <a:lnSpc>
              <a:spcPct val="90000"/>
            </a:lnSpc>
            <a:spcBef>
              <a:spcPct val="0"/>
            </a:spcBef>
            <a:spcAft>
              <a:spcPct val="15000"/>
            </a:spcAft>
            <a:buChar char="•"/>
          </a:pPr>
          <a:r>
            <a:rPr lang="en-US" sz="1000" kern="1200"/>
            <a:t>makes awards to subrecipient programs and monitors for compliance</a:t>
          </a:r>
        </a:p>
      </dsp:txBody>
      <dsp:txXfrm>
        <a:off x="3365157" y="1953084"/>
        <a:ext cx="1336601" cy="1039694"/>
      </dsp:txXfrm>
    </dsp:sp>
    <dsp:sp modelId="{DA932657-5F4B-42EB-8407-15ECEEB272AC}">
      <dsp:nvSpPr>
        <dsp:cNvPr id="0" name=""/>
        <dsp:cNvSpPr/>
      </dsp:nvSpPr>
      <dsp:spPr>
        <a:xfrm rot="5400000">
          <a:off x="3340327" y="4485559"/>
          <a:ext cx="1091679" cy="12428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F557766-BEDE-4055-9080-CC9C78BF9051}">
      <dsp:nvSpPr>
        <dsp:cNvPr id="0" name=""/>
        <dsp:cNvSpPr/>
      </dsp:nvSpPr>
      <dsp:spPr>
        <a:xfrm>
          <a:off x="3051098" y="3275410"/>
          <a:ext cx="1837746" cy="1286362"/>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Subrecipient Program</a:t>
          </a:r>
        </a:p>
      </dsp:txBody>
      <dsp:txXfrm>
        <a:off x="3113904" y="3338216"/>
        <a:ext cx="1712134" cy="1160750"/>
      </dsp:txXfrm>
    </dsp:sp>
    <dsp:sp modelId="{9066AC56-BCD0-4443-B40E-C93BE778E0C4}">
      <dsp:nvSpPr>
        <dsp:cNvPr id="0" name=""/>
        <dsp:cNvSpPr/>
      </dsp:nvSpPr>
      <dsp:spPr>
        <a:xfrm>
          <a:off x="4888844" y="3398094"/>
          <a:ext cx="1336601" cy="10396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ctr" anchorCtr="0">
          <a:noAutofit/>
        </a:bodyPr>
        <a:lstStyle/>
        <a:p>
          <a:pPr marL="57150" lvl="1" indent="-57150" algn="l" defTabSz="444500">
            <a:lnSpc>
              <a:spcPct val="90000"/>
            </a:lnSpc>
            <a:spcBef>
              <a:spcPct val="0"/>
            </a:spcBef>
            <a:spcAft>
              <a:spcPct val="15000"/>
            </a:spcAft>
            <a:buChar char="•"/>
          </a:pPr>
          <a:r>
            <a:rPr lang="en-US" sz="1000" kern="1200"/>
            <a:t>if passing grant funds through to secondary recipient, must pass requirements through and monitor for compliance</a:t>
          </a:r>
        </a:p>
      </dsp:txBody>
      <dsp:txXfrm>
        <a:off x="4888844" y="3398094"/>
        <a:ext cx="1336601" cy="1039694"/>
      </dsp:txXfrm>
    </dsp:sp>
    <dsp:sp modelId="{619E82EF-0912-43B8-8F96-6A785CD61A07}">
      <dsp:nvSpPr>
        <dsp:cNvPr id="0" name=""/>
        <dsp:cNvSpPr/>
      </dsp:nvSpPr>
      <dsp:spPr>
        <a:xfrm>
          <a:off x="4578509" y="4720420"/>
          <a:ext cx="1837746" cy="1286362"/>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a:t>Second Tier Subrecipient</a:t>
          </a:r>
        </a:p>
      </dsp:txBody>
      <dsp:txXfrm>
        <a:off x="4641315" y="4783226"/>
        <a:ext cx="1712134" cy="1160750"/>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502</Words>
  <Characters>2903</Characters>
  <Application>Microsoft Office Word</Application>
  <DocSecurity>0</DocSecurity>
  <Lines>55</Lines>
  <Paragraphs>27</Paragraphs>
  <ScaleCrop>false</ScaleCrop>
  <HeadingPairs>
    <vt:vector size="2" baseType="variant">
      <vt:variant>
        <vt:lpstr>Title</vt:lpstr>
      </vt:variant>
      <vt:variant>
        <vt:i4>1</vt:i4>
      </vt:variant>
    </vt:vector>
  </HeadingPairs>
  <TitlesOfParts>
    <vt:vector size="1" baseType="lpstr">
      <vt:lpstr/>
    </vt:vector>
  </TitlesOfParts>
  <Company>Oregon Dept of Justice</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Glick</dc:creator>
  <cp:keywords/>
  <dc:description/>
  <cp:lastModifiedBy>Marjorie Glick</cp:lastModifiedBy>
  <cp:revision>4</cp:revision>
  <dcterms:created xsi:type="dcterms:W3CDTF">2026-04-03T23:39:00Z</dcterms:created>
  <dcterms:modified xsi:type="dcterms:W3CDTF">2026-04-03T23:46:00Z</dcterms:modified>
</cp:coreProperties>
</file>